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CDF34F" w14:textId="77777777" w:rsidR="00EB21FE" w:rsidRDefault="006D12D1" w:rsidP="007215D2">
      <w:pPr>
        <w:jc w:val="both"/>
        <w:rPr>
          <w:b/>
        </w:rPr>
      </w:pPr>
      <w:bookmarkStart w:id="0" w:name="_GoBack"/>
      <w:bookmarkEnd w:id="0"/>
      <w:r>
        <w:rPr>
          <w:b/>
          <w:noProof/>
        </w:rPr>
        <w:drawing>
          <wp:inline distT="0" distB="0" distL="0" distR="0" wp14:anchorId="7ACE1FAE" wp14:editId="50A2463A">
            <wp:extent cx="4953000" cy="10881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RPC_Logo_Final.jpg"/>
                    <pic:cNvPicPr/>
                  </pic:nvPicPr>
                  <pic:blipFill>
                    <a:blip r:embed="rId7">
                      <a:extLst>
                        <a:ext uri="{28A0092B-C50C-407E-A947-70E740481C1C}">
                          <a14:useLocalDpi xmlns:a14="http://schemas.microsoft.com/office/drawing/2010/main" val="0"/>
                        </a:ext>
                      </a:extLst>
                    </a:blip>
                    <a:stretch>
                      <a:fillRect/>
                    </a:stretch>
                  </pic:blipFill>
                  <pic:spPr>
                    <a:xfrm>
                      <a:off x="0" y="0"/>
                      <a:ext cx="4953000" cy="1088136"/>
                    </a:xfrm>
                    <a:prstGeom prst="rect">
                      <a:avLst/>
                    </a:prstGeom>
                  </pic:spPr>
                </pic:pic>
              </a:graphicData>
            </a:graphic>
          </wp:inline>
        </w:drawing>
      </w:r>
    </w:p>
    <w:p w14:paraId="46FBDAC4" w14:textId="77777777" w:rsidR="00EB21FE" w:rsidRPr="005552B8" w:rsidRDefault="00EB21FE" w:rsidP="007215D2">
      <w:pPr>
        <w:jc w:val="both"/>
        <w:rPr>
          <w:b/>
        </w:rPr>
      </w:pPr>
    </w:p>
    <w:p w14:paraId="47046C77" w14:textId="77777777" w:rsidR="00EB21FE" w:rsidRPr="006C2300" w:rsidRDefault="00EB21FE" w:rsidP="007215D2">
      <w:pPr>
        <w:jc w:val="both"/>
        <w:rPr>
          <w:b/>
          <w:sz w:val="22"/>
          <w:szCs w:val="22"/>
        </w:rPr>
      </w:pPr>
      <w:r>
        <w:rPr>
          <w:b/>
          <w:smallCaps/>
        </w:rPr>
        <w:t xml:space="preserve">Progress Report </w:t>
      </w:r>
    </w:p>
    <w:p w14:paraId="0FC1F437" w14:textId="77777777" w:rsidR="00EB21FE" w:rsidRDefault="00EB21FE" w:rsidP="007215D2">
      <w:pPr>
        <w:jc w:val="both"/>
        <w:rPr>
          <w:sz w:val="22"/>
          <w:szCs w:val="22"/>
        </w:rPr>
      </w:pPr>
    </w:p>
    <w:p w14:paraId="1EC2936F" w14:textId="77777777" w:rsidR="00EB21FE" w:rsidRPr="006C2300" w:rsidRDefault="00EB21FE" w:rsidP="007215D2">
      <w:pPr>
        <w:jc w:val="both"/>
        <w:rPr>
          <w:sz w:val="22"/>
          <w:szCs w:val="22"/>
        </w:rPr>
      </w:pPr>
    </w:p>
    <w:p w14:paraId="299EDEAB" w14:textId="77777777" w:rsidR="00EB21FE" w:rsidRDefault="00EB21FE" w:rsidP="007215D2">
      <w:pPr>
        <w:jc w:val="both"/>
        <w:rPr>
          <w:sz w:val="22"/>
          <w:szCs w:val="22"/>
        </w:rPr>
      </w:pPr>
      <w:r>
        <w:rPr>
          <w:sz w:val="22"/>
          <w:szCs w:val="22"/>
        </w:rPr>
        <w:t xml:space="preserve">PROJECT </w:t>
      </w:r>
      <w:r w:rsidR="006D12D1">
        <w:rPr>
          <w:sz w:val="22"/>
          <w:szCs w:val="22"/>
        </w:rPr>
        <w:t>TITLE</w:t>
      </w:r>
      <w:r>
        <w:rPr>
          <w:sz w:val="22"/>
          <w:szCs w:val="22"/>
        </w:rPr>
        <w:t xml:space="preserve">: </w:t>
      </w:r>
      <w:r w:rsidR="009D399D">
        <w:rPr>
          <w:sz w:val="22"/>
          <w:szCs w:val="22"/>
        </w:rPr>
        <w:t>Value added materials from corn</w:t>
      </w:r>
    </w:p>
    <w:p w14:paraId="4ED11BB0" w14:textId="77777777" w:rsidR="006D12D1" w:rsidRDefault="006D12D1" w:rsidP="007215D2">
      <w:pPr>
        <w:jc w:val="both"/>
        <w:rPr>
          <w:sz w:val="22"/>
          <w:szCs w:val="22"/>
        </w:rPr>
      </w:pPr>
      <w:r>
        <w:rPr>
          <w:sz w:val="22"/>
          <w:szCs w:val="22"/>
        </w:rPr>
        <w:t>PROJECT NUMBER:</w:t>
      </w:r>
      <w:r w:rsidR="00292567">
        <w:rPr>
          <w:sz w:val="22"/>
          <w:szCs w:val="22"/>
        </w:rPr>
        <w:t xml:space="preserve"> 108</w:t>
      </w:r>
      <w:r w:rsidR="009D399D">
        <w:rPr>
          <w:sz w:val="22"/>
          <w:szCs w:val="22"/>
        </w:rPr>
        <w:t>4</w:t>
      </w:r>
      <w:r w:rsidR="00292567">
        <w:rPr>
          <w:sz w:val="22"/>
          <w:szCs w:val="22"/>
        </w:rPr>
        <w:t>-17EU</w:t>
      </w:r>
    </w:p>
    <w:p w14:paraId="47201969" w14:textId="77777777" w:rsidR="00EB21FE" w:rsidRDefault="00EB21FE" w:rsidP="007215D2">
      <w:pPr>
        <w:jc w:val="both"/>
        <w:rPr>
          <w:sz w:val="22"/>
          <w:szCs w:val="22"/>
        </w:rPr>
      </w:pPr>
      <w:r>
        <w:rPr>
          <w:sz w:val="22"/>
          <w:szCs w:val="22"/>
        </w:rPr>
        <w:t>REPORT</w:t>
      </w:r>
      <w:r w:rsidR="006D12D1">
        <w:rPr>
          <w:sz w:val="22"/>
          <w:szCs w:val="22"/>
        </w:rPr>
        <w:t>ING PERIOD</w:t>
      </w:r>
      <w:r>
        <w:rPr>
          <w:sz w:val="22"/>
          <w:szCs w:val="22"/>
        </w:rPr>
        <w:t xml:space="preserve">: </w:t>
      </w:r>
      <w:r w:rsidR="00DD4E64" w:rsidRPr="00DD4E64">
        <w:rPr>
          <w:sz w:val="22"/>
          <w:szCs w:val="22"/>
        </w:rPr>
        <w:t>October 31 – December 31, 2018</w:t>
      </w:r>
    </w:p>
    <w:p w14:paraId="357BAF41" w14:textId="77777777" w:rsidR="00EB21FE" w:rsidRDefault="006D12D1" w:rsidP="007215D2">
      <w:pPr>
        <w:jc w:val="both"/>
        <w:rPr>
          <w:sz w:val="22"/>
          <w:szCs w:val="22"/>
        </w:rPr>
      </w:pPr>
      <w:r>
        <w:rPr>
          <w:sz w:val="22"/>
          <w:szCs w:val="22"/>
        </w:rPr>
        <w:t>PRINCIPAL INVESTIGATOR</w:t>
      </w:r>
      <w:r w:rsidR="00EB21FE">
        <w:rPr>
          <w:sz w:val="22"/>
          <w:szCs w:val="22"/>
        </w:rPr>
        <w:t xml:space="preserve">: </w:t>
      </w:r>
      <w:r w:rsidR="00292567">
        <w:rPr>
          <w:sz w:val="22"/>
          <w:szCs w:val="22"/>
        </w:rPr>
        <w:t>Marc Hillmyer</w:t>
      </w:r>
    </w:p>
    <w:p w14:paraId="64FF2FD8" w14:textId="77777777" w:rsidR="00EB21FE" w:rsidRDefault="00EB21FE" w:rsidP="007215D2">
      <w:pPr>
        <w:jc w:val="both"/>
        <w:rPr>
          <w:sz w:val="22"/>
          <w:szCs w:val="22"/>
        </w:rPr>
      </w:pPr>
      <w:r>
        <w:rPr>
          <w:sz w:val="22"/>
          <w:szCs w:val="22"/>
        </w:rPr>
        <w:t xml:space="preserve">ORGANIZATION: </w:t>
      </w:r>
      <w:r w:rsidR="00292567">
        <w:rPr>
          <w:sz w:val="22"/>
          <w:szCs w:val="22"/>
        </w:rPr>
        <w:t>University of Minnesota</w:t>
      </w:r>
      <w:r w:rsidR="00292567">
        <w:rPr>
          <w:sz w:val="22"/>
          <w:szCs w:val="22"/>
        </w:rPr>
        <w:tab/>
      </w:r>
    </w:p>
    <w:p w14:paraId="2CDB6C81" w14:textId="77777777" w:rsidR="00EB21FE" w:rsidRDefault="00EB21FE" w:rsidP="007215D2">
      <w:pPr>
        <w:jc w:val="both"/>
        <w:rPr>
          <w:sz w:val="22"/>
          <w:szCs w:val="22"/>
        </w:rPr>
      </w:pPr>
      <w:r>
        <w:rPr>
          <w:sz w:val="22"/>
          <w:szCs w:val="22"/>
        </w:rPr>
        <w:t xml:space="preserve">PHONE NUMBER: </w:t>
      </w:r>
      <w:r w:rsidR="00292567">
        <w:rPr>
          <w:sz w:val="22"/>
          <w:szCs w:val="22"/>
        </w:rPr>
        <w:t>612-625-7834</w:t>
      </w:r>
    </w:p>
    <w:p w14:paraId="78DE4E14" w14:textId="77777777" w:rsidR="00EB21FE" w:rsidRDefault="00EB21FE" w:rsidP="007215D2">
      <w:pPr>
        <w:jc w:val="both"/>
        <w:rPr>
          <w:sz w:val="22"/>
          <w:szCs w:val="22"/>
        </w:rPr>
      </w:pPr>
      <w:r>
        <w:rPr>
          <w:sz w:val="22"/>
          <w:szCs w:val="22"/>
        </w:rPr>
        <w:t xml:space="preserve">EMAIL: </w:t>
      </w:r>
      <w:r w:rsidR="00292567">
        <w:rPr>
          <w:sz w:val="22"/>
          <w:szCs w:val="22"/>
        </w:rPr>
        <w:t>hillmyer@umn.edu</w:t>
      </w:r>
    </w:p>
    <w:p w14:paraId="03663E78" w14:textId="77777777" w:rsidR="00EB21FE" w:rsidRDefault="00EB21FE" w:rsidP="007215D2">
      <w:pPr>
        <w:jc w:val="both"/>
        <w:rPr>
          <w:sz w:val="22"/>
          <w:szCs w:val="22"/>
        </w:rPr>
      </w:pPr>
    </w:p>
    <w:p w14:paraId="047735F9" w14:textId="77777777" w:rsidR="00EB21FE" w:rsidRDefault="00EB21FE" w:rsidP="007215D2">
      <w:pPr>
        <w:jc w:val="both"/>
        <w:rPr>
          <w:sz w:val="22"/>
          <w:szCs w:val="22"/>
        </w:rPr>
      </w:pPr>
      <w:r w:rsidRPr="00E67F90">
        <w:rPr>
          <w:sz w:val="22"/>
          <w:szCs w:val="22"/>
        </w:rPr>
        <w:t xml:space="preserve">1.) </w:t>
      </w:r>
      <w:r w:rsidR="006D12D1">
        <w:rPr>
          <w:sz w:val="22"/>
          <w:szCs w:val="22"/>
        </w:rPr>
        <w:t>PROJECT ACTIVITIES COMPLETED DURING THE REPORTING PERIOD.</w:t>
      </w:r>
      <w:r w:rsidRPr="00E67F90">
        <w:rPr>
          <w:sz w:val="22"/>
          <w:szCs w:val="22"/>
        </w:rPr>
        <w:t xml:space="preserve"> (</w:t>
      </w:r>
      <w:r w:rsidR="008926A7">
        <w:rPr>
          <w:i/>
          <w:sz w:val="22"/>
          <w:szCs w:val="22"/>
        </w:rPr>
        <w:t>Describe project progress s</w:t>
      </w:r>
      <w:r w:rsidRPr="006C2300">
        <w:rPr>
          <w:i/>
          <w:sz w:val="22"/>
          <w:szCs w:val="22"/>
        </w:rPr>
        <w:t xml:space="preserve">pecific to </w:t>
      </w:r>
      <w:r w:rsidR="008926A7">
        <w:rPr>
          <w:i/>
          <w:sz w:val="22"/>
          <w:szCs w:val="22"/>
        </w:rPr>
        <w:t xml:space="preserve">goals, objectives, and deliverables identified in </w:t>
      </w:r>
      <w:r w:rsidR="00EB16B7">
        <w:rPr>
          <w:i/>
          <w:sz w:val="22"/>
          <w:szCs w:val="22"/>
        </w:rPr>
        <w:t>the project work</w:t>
      </w:r>
      <w:r w:rsidRPr="006C2300">
        <w:rPr>
          <w:i/>
          <w:sz w:val="22"/>
          <w:szCs w:val="22"/>
        </w:rPr>
        <w:t>plan</w:t>
      </w:r>
      <w:r w:rsidR="008926A7">
        <w:rPr>
          <w:i/>
          <w:sz w:val="22"/>
          <w:szCs w:val="22"/>
        </w:rPr>
        <w:t>.</w:t>
      </w:r>
      <w:r w:rsidRPr="00E67F90">
        <w:rPr>
          <w:sz w:val="22"/>
          <w:szCs w:val="22"/>
        </w:rPr>
        <w:t>)</w:t>
      </w:r>
    </w:p>
    <w:p w14:paraId="6C5E43A8" w14:textId="77777777" w:rsidR="00DD4E64" w:rsidRDefault="00DD4E64" w:rsidP="007215D2">
      <w:pPr>
        <w:jc w:val="both"/>
        <w:rPr>
          <w:i/>
          <w:sz w:val="22"/>
          <w:szCs w:val="22"/>
        </w:rPr>
      </w:pPr>
    </w:p>
    <w:p w14:paraId="775678B1" w14:textId="0943FEC5" w:rsidR="00F31626" w:rsidRPr="007215D2" w:rsidRDefault="00DD4E64" w:rsidP="007215D2">
      <w:pPr>
        <w:contextualSpacing/>
        <w:jc w:val="both"/>
      </w:pPr>
      <w:r w:rsidRPr="007215D2">
        <w:t xml:space="preserve">Since </w:t>
      </w:r>
      <w:r w:rsidR="007215D2" w:rsidRPr="007215D2">
        <w:t>the</w:t>
      </w:r>
      <w:r w:rsidRPr="007215D2">
        <w:t xml:space="preserve"> last report </w:t>
      </w:r>
      <w:r w:rsidR="007215D2" w:rsidRPr="007215D2">
        <w:t>the Tonks and Hillmyer groups</w:t>
      </w:r>
      <w:r w:rsidRPr="007215D2">
        <w:t xml:space="preserve"> have been wrapping up our work with the polymerization of HMS and trying to apply the lessons that we’ve learned towards the polymerization of other monomer systems. In addition to the side reactions identified in our previous report, we have also found that alcohol acetylation as well as hydroxycarbonylation play significant roles in the </w:t>
      </w:r>
      <w:r w:rsidR="00B7158C" w:rsidRPr="007215D2">
        <w:t>hydroesterification of styrene with benzyl alcohol (Figure 1), and thus are expected to be key side reactions in the polymerization of HMS as well</w:t>
      </w:r>
      <w:r w:rsidRPr="007215D2">
        <w:t>. Fortunately, both of these side reactions can be mitigated by proper selection of catalyst reagents.</w:t>
      </w:r>
    </w:p>
    <w:p w14:paraId="4B611776" w14:textId="77777777" w:rsidR="00015CD3" w:rsidRPr="007215D2" w:rsidRDefault="00015CD3" w:rsidP="007215D2">
      <w:pPr>
        <w:contextualSpacing/>
        <w:jc w:val="both"/>
      </w:pPr>
    </w:p>
    <w:p w14:paraId="66CDD8C4" w14:textId="77777777" w:rsidR="00F31626" w:rsidRDefault="00842981" w:rsidP="007215D2">
      <w:pPr>
        <w:contextualSpacing/>
        <w:jc w:val="center"/>
        <w:rPr>
          <w:sz w:val="22"/>
          <w:szCs w:val="22"/>
        </w:rPr>
      </w:pPr>
      <w:r>
        <w:rPr>
          <w:noProof/>
          <w:sz w:val="22"/>
          <w:szCs w:val="22"/>
        </w:rPr>
        <w:drawing>
          <wp:inline distT="0" distB="0" distL="0" distR="0" wp14:anchorId="7C6D0E30" wp14:editId="7EC62F96">
            <wp:extent cx="3493008"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png"/>
                    <pic:cNvPicPr/>
                  </pic:nvPicPr>
                  <pic:blipFill>
                    <a:blip r:embed="rId8"/>
                    <a:stretch>
                      <a:fillRect/>
                    </a:stretch>
                  </pic:blipFill>
                  <pic:spPr>
                    <a:xfrm>
                      <a:off x="0" y="0"/>
                      <a:ext cx="3493008" cy="1600200"/>
                    </a:xfrm>
                    <a:prstGeom prst="rect">
                      <a:avLst/>
                    </a:prstGeom>
                  </pic:spPr>
                </pic:pic>
              </a:graphicData>
            </a:graphic>
          </wp:inline>
        </w:drawing>
      </w:r>
    </w:p>
    <w:p w14:paraId="0201BB50" w14:textId="77777777" w:rsidR="00F31626" w:rsidRPr="007215D2" w:rsidRDefault="00F31626" w:rsidP="007215D2">
      <w:pPr>
        <w:jc w:val="both"/>
      </w:pPr>
      <w:r w:rsidRPr="007215D2">
        <w:rPr>
          <w:b/>
        </w:rPr>
        <w:t>Figure 1</w:t>
      </w:r>
      <w:r w:rsidRPr="007215D2">
        <w:t>. Hydroesterification of styrene with benzyl alcohol, showing the key side products formed which are also expected to be present in the reaction with HMS.</w:t>
      </w:r>
    </w:p>
    <w:p w14:paraId="177B92F4" w14:textId="77777777" w:rsidR="00DD4E64" w:rsidRPr="007215D2" w:rsidRDefault="00DD4E64" w:rsidP="007215D2">
      <w:pPr>
        <w:jc w:val="both"/>
      </w:pPr>
    </w:p>
    <w:p w14:paraId="7AC15888" w14:textId="77777777" w:rsidR="00F31626" w:rsidRPr="007215D2" w:rsidRDefault="00DD4E64" w:rsidP="007215D2">
      <w:pPr>
        <w:jc w:val="both"/>
      </w:pPr>
      <w:r w:rsidRPr="007215D2">
        <w:t>Having a clearer picture of the predominant side reactions involved with hydroesterificative polymerization, we turned to a substrate which we hypothesized would be more inert to the identified side chemistries, namely 10-undecenol</w:t>
      </w:r>
      <w:r w:rsidR="00D87DFF" w:rsidRPr="007215D2">
        <w:t xml:space="preserve"> (Figure 2</w:t>
      </w:r>
      <w:r w:rsidR="00842981" w:rsidRPr="007215D2">
        <w:t>, left</w:t>
      </w:r>
      <w:r w:rsidR="00D87DFF" w:rsidRPr="007215D2">
        <w:t>)</w:t>
      </w:r>
      <w:r w:rsidRPr="007215D2">
        <w:t xml:space="preserve">. Under our normal catalytic conditions, we found that conversions of 10-undecenol to poly(dodecyloate) were low, but after some catalyst optimization, we found that 1) increased substrate concentrations (1.67 M) 2) increased reaction temperatures (100 °C) and 3) increased loadings of acid (4%) and ligand (8%) </w:t>
      </w:r>
      <w:r w:rsidRPr="007215D2">
        <w:lastRenderedPageBreak/>
        <w:t xml:space="preserve">led to high monomer conversions within 16 h. The isolated polymer was found to have </w:t>
      </w:r>
      <w:r w:rsidRPr="007215D2">
        <w:rPr>
          <w:i/>
        </w:rPr>
        <w:t>M</w:t>
      </w:r>
      <w:r w:rsidRPr="007215D2">
        <w:rPr>
          <w:vertAlign w:val="subscript"/>
        </w:rPr>
        <w:t>n</w:t>
      </w:r>
      <w:r w:rsidRPr="007215D2">
        <w:t xml:space="preserve"> ~ 14.5 kg/mol, significantly higher than w</w:t>
      </w:r>
      <w:r w:rsidR="00015CD3" w:rsidRPr="007215D2">
        <w:t>hat was</w:t>
      </w:r>
      <w:r w:rsidRPr="007215D2">
        <w:t xml:space="preserve"> observed for HMS. Increased reaction times (72 h) resulted in slight increases in </w:t>
      </w:r>
      <w:r w:rsidRPr="007215D2">
        <w:rPr>
          <w:i/>
        </w:rPr>
        <w:t>M</w:t>
      </w:r>
      <w:r w:rsidRPr="007215D2">
        <w:rPr>
          <w:vertAlign w:val="subscript"/>
        </w:rPr>
        <w:t>n</w:t>
      </w:r>
      <w:r w:rsidRPr="007215D2">
        <w:t xml:space="preserve"> to ~16 kg/mol. Thus, these findings suggest that </w:t>
      </w:r>
      <w:r w:rsidR="00015CD3" w:rsidRPr="007215D2">
        <w:t xml:space="preserve">functional group longevity is higher with 10-undecenol compared to HMS, and that </w:t>
      </w:r>
      <w:r w:rsidRPr="007215D2">
        <w:t>with a more judicious choice of substrate, palladium catalyzed hydroesterification has the potential to deliver polyester in moderate molecular weight ranges</w:t>
      </w:r>
      <w:r w:rsidR="00015CD3" w:rsidRPr="007215D2">
        <w:t>. W</w:t>
      </w:r>
      <w:r w:rsidRPr="007215D2">
        <w:t xml:space="preserve">e are continuing to probe whether conditions can be further optimized to lead to even higher </w:t>
      </w:r>
      <w:r w:rsidRPr="007215D2">
        <w:rPr>
          <w:i/>
        </w:rPr>
        <w:t>M</w:t>
      </w:r>
      <w:r w:rsidRPr="007215D2">
        <w:rPr>
          <w:vertAlign w:val="subscript"/>
        </w:rPr>
        <w:t>n</w:t>
      </w:r>
      <w:r w:rsidRPr="007215D2">
        <w:t xml:space="preserve"> values.</w:t>
      </w:r>
      <w:r w:rsidR="00842981" w:rsidRPr="007215D2">
        <w:t xml:space="preserve"> In regard to this latter point, one way we have attempted to achieve this is through the use of a Pd</w:t>
      </w:r>
      <w:r w:rsidR="00842981" w:rsidRPr="007215D2">
        <w:rPr>
          <w:vertAlign w:val="superscript"/>
        </w:rPr>
        <w:t>0</w:t>
      </w:r>
      <w:r w:rsidR="00842981" w:rsidRPr="007215D2">
        <w:t xml:space="preserve"> starting material. Starting from Pd</w:t>
      </w:r>
      <w:r w:rsidR="00842981" w:rsidRPr="007215D2">
        <w:rPr>
          <w:vertAlign w:val="superscript"/>
        </w:rPr>
        <w:t>0</w:t>
      </w:r>
      <w:r w:rsidR="00842981" w:rsidRPr="007215D2">
        <w:t xml:space="preserve"> vs. Pd</w:t>
      </w:r>
      <w:r w:rsidR="00842981" w:rsidRPr="007215D2">
        <w:rPr>
          <w:vertAlign w:val="superscript"/>
        </w:rPr>
        <w:t>II</w:t>
      </w:r>
      <w:r w:rsidR="00842981" w:rsidRPr="007215D2">
        <w:t xml:space="preserve"> should in theory totally mitigate the formation of any aldehyde end-groups due to alcohol oxidation, and thus help </w:t>
      </w:r>
      <w:r w:rsidR="00015CD3" w:rsidRPr="007215D2">
        <w:t>maintain</w:t>
      </w:r>
      <w:r w:rsidR="00842981" w:rsidRPr="007215D2">
        <w:t xml:space="preserve"> functional group longevity over the course of the reaction. Using the conditions described in Figure 2 (right), we were successful in synthesizing poly(dodecyloate) in </w:t>
      </w:r>
      <w:r w:rsidR="00842981" w:rsidRPr="007215D2">
        <w:rPr>
          <w:i/>
        </w:rPr>
        <w:t>M</w:t>
      </w:r>
      <w:r w:rsidR="00842981" w:rsidRPr="007215D2">
        <w:rPr>
          <w:vertAlign w:val="subscript"/>
        </w:rPr>
        <w:t>n</w:t>
      </w:r>
      <w:r w:rsidR="00842981" w:rsidRPr="007215D2">
        <w:t xml:space="preserve"> ~ 8 kg/mol within 16 h. This is a first pass, and we are hopeful that extended reaction times with this catalyst system will lead to higher molar masses. </w:t>
      </w:r>
    </w:p>
    <w:p w14:paraId="666E4B98" w14:textId="77777777" w:rsidR="00F31626" w:rsidRDefault="00842981" w:rsidP="007215D2">
      <w:pPr>
        <w:jc w:val="center"/>
        <w:rPr>
          <w:sz w:val="22"/>
          <w:szCs w:val="22"/>
        </w:rPr>
      </w:pPr>
      <w:r>
        <w:rPr>
          <w:noProof/>
          <w:sz w:val="22"/>
          <w:szCs w:val="22"/>
        </w:rPr>
        <w:drawing>
          <wp:inline distT="0" distB="0" distL="0" distR="0" wp14:anchorId="141C79EB" wp14:editId="237DD98E">
            <wp:extent cx="4242816" cy="923544"/>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png"/>
                    <pic:cNvPicPr/>
                  </pic:nvPicPr>
                  <pic:blipFill>
                    <a:blip r:embed="rId9"/>
                    <a:stretch>
                      <a:fillRect/>
                    </a:stretch>
                  </pic:blipFill>
                  <pic:spPr>
                    <a:xfrm>
                      <a:off x="0" y="0"/>
                      <a:ext cx="4242816" cy="923544"/>
                    </a:xfrm>
                    <a:prstGeom prst="rect">
                      <a:avLst/>
                    </a:prstGeom>
                  </pic:spPr>
                </pic:pic>
              </a:graphicData>
            </a:graphic>
          </wp:inline>
        </w:drawing>
      </w:r>
    </w:p>
    <w:p w14:paraId="3056FF87" w14:textId="70152F3E" w:rsidR="00F31626" w:rsidRPr="007215D2" w:rsidRDefault="00F31626" w:rsidP="007215D2">
      <w:pPr>
        <w:jc w:val="both"/>
      </w:pPr>
      <w:r w:rsidRPr="007215D2">
        <w:rPr>
          <w:b/>
        </w:rPr>
        <w:t>Figure 2</w:t>
      </w:r>
      <w:r w:rsidRPr="007215D2">
        <w:t>. Co-polymerization of 10-undecenol with CO to give poly(dodecyloate).</w:t>
      </w:r>
    </w:p>
    <w:p w14:paraId="1495BACF" w14:textId="77777777" w:rsidR="00DD4E64" w:rsidRPr="007215D2" w:rsidRDefault="00DD4E64" w:rsidP="007215D2">
      <w:pPr>
        <w:jc w:val="both"/>
      </w:pPr>
    </w:p>
    <w:p w14:paraId="4F2C45BB" w14:textId="77777777" w:rsidR="00DD4E64" w:rsidRPr="007215D2" w:rsidRDefault="00073876" w:rsidP="007215D2">
      <w:pPr>
        <w:jc w:val="both"/>
      </w:pPr>
      <w:r w:rsidRPr="007215D2">
        <w:t>Additionally</w:t>
      </w:r>
      <w:r w:rsidR="00DD4E64" w:rsidRPr="007215D2">
        <w:t xml:space="preserve">, we have been seeking to expand the repertoire of this chemistry by looking into other AB type monomers (Figure </w:t>
      </w:r>
      <w:r w:rsidR="00842981" w:rsidRPr="007215D2">
        <w:t>3</w:t>
      </w:r>
      <w:r w:rsidR="00DD4E64" w:rsidRPr="007215D2">
        <w:t xml:space="preserve">). Specifically, we have </w:t>
      </w:r>
      <w:r w:rsidR="000863D9" w:rsidRPr="007215D2">
        <w:t>made</w:t>
      </w:r>
      <w:r w:rsidR="00DD4E64" w:rsidRPr="007215D2">
        <w:t xml:space="preserve"> both lactate derived monomers as well as those based </w:t>
      </w:r>
      <w:r w:rsidR="00157224" w:rsidRPr="007215D2">
        <w:t>on isosorbide, a bicyclic diol which can ultimately be derived from glucose.</w:t>
      </w:r>
      <w:r w:rsidR="00842981" w:rsidRPr="007215D2">
        <w:t xml:space="preserve"> </w:t>
      </w:r>
      <w:r w:rsidR="000863D9" w:rsidRPr="007215D2">
        <w:t xml:space="preserve">Preliminary </w:t>
      </w:r>
      <w:r w:rsidR="00926498" w:rsidRPr="007215D2">
        <w:rPr>
          <w:vertAlign w:val="superscript"/>
        </w:rPr>
        <w:t>1</w:t>
      </w:r>
      <w:r w:rsidR="00926498" w:rsidRPr="007215D2">
        <w:t xml:space="preserve">H NMR data </w:t>
      </w:r>
      <w:r w:rsidR="000863D9" w:rsidRPr="007215D2">
        <w:t xml:space="preserve">suggest that these monomers will be more challenging to work with, presumably due to the reduced nucleophilicity of the corresponding alcohol functionalities and we are currently looking into various strategies to address these issues. On paper however, they should be robust with respect to the identified side chemistries observed with HMS. </w:t>
      </w:r>
    </w:p>
    <w:p w14:paraId="707BE90D" w14:textId="77777777" w:rsidR="00842981" w:rsidRDefault="00842981" w:rsidP="007215D2">
      <w:pPr>
        <w:ind w:firstLine="720"/>
        <w:jc w:val="both"/>
        <w:rPr>
          <w:sz w:val="22"/>
          <w:szCs w:val="22"/>
        </w:rPr>
      </w:pPr>
    </w:p>
    <w:p w14:paraId="5CA89AEC" w14:textId="77777777" w:rsidR="00842981" w:rsidRPr="00DD4E64" w:rsidRDefault="00842981" w:rsidP="007215D2">
      <w:pPr>
        <w:jc w:val="center"/>
        <w:rPr>
          <w:sz w:val="22"/>
          <w:szCs w:val="22"/>
        </w:rPr>
      </w:pPr>
      <w:r>
        <w:rPr>
          <w:noProof/>
          <w:sz w:val="22"/>
          <w:szCs w:val="22"/>
        </w:rPr>
        <w:drawing>
          <wp:inline distT="0" distB="0" distL="0" distR="0" wp14:anchorId="2E0FE45E" wp14:editId="32B8C470">
            <wp:extent cx="3712464" cy="1508760"/>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Figure 5.png"/>
                    <pic:cNvPicPr/>
                  </pic:nvPicPr>
                  <pic:blipFill>
                    <a:blip r:embed="rId10"/>
                    <a:stretch>
                      <a:fillRect/>
                    </a:stretch>
                  </pic:blipFill>
                  <pic:spPr>
                    <a:xfrm>
                      <a:off x="0" y="0"/>
                      <a:ext cx="3712464" cy="1508760"/>
                    </a:xfrm>
                    <a:prstGeom prst="rect">
                      <a:avLst/>
                    </a:prstGeom>
                  </pic:spPr>
                </pic:pic>
              </a:graphicData>
            </a:graphic>
          </wp:inline>
        </w:drawing>
      </w:r>
    </w:p>
    <w:p w14:paraId="4B4C2BAC" w14:textId="77777777" w:rsidR="00842981" w:rsidRPr="007215D2" w:rsidRDefault="00842981" w:rsidP="007215D2">
      <w:pPr>
        <w:jc w:val="both"/>
      </w:pPr>
      <w:r w:rsidRPr="007215D2">
        <w:rPr>
          <w:b/>
        </w:rPr>
        <w:t>Figure 3</w:t>
      </w:r>
      <w:r w:rsidRPr="007215D2">
        <w:t>. Hydroesterificative polymerization of new AB type monomers derived from lactide (top) and isosorbide (bottom).</w:t>
      </w:r>
    </w:p>
    <w:p w14:paraId="44343A74" w14:textId="77777777" w:rsidR="00073876" w:rsidRPr="007215D2" w:rsidRDefault="00073876" w:rsidP="007215D2">
      <w:pPr>
        <w:jc w:val="both"/>
      </w:pPr>
    </w:p>
    <w:p w14:paraId="43DB6AF1" w14:textId="4040A404" w:rsidR="00F7795B" w:rsidRPr="007215D2" w:rsidRDefault="007215D2" w:rsidP="007215D2">
      <w:pPr>
        <w:jc w:val="both"/>
      </w:pPr>
      <w:r w:rsidRPr="007215D2">
        <w:t>The Tonks group has</w:t>
      </w:r>
      <w:r w:rsidR="00073876" w:rsidRPr="007215D2">
        <w:t xml:space="preserve"> also continued exploration of </w:t>
      </w:r>
      <w:r w:rsidR="00915C69" w:rsidRPr="007215D2">
        <w:t xml:space="preserve">new catalyst frameworks for promoting hydroesterification reactions. </w:t>
      </w:r>
      <w:r w:rsidR="00C94099" w:rsidRPr="007215D2">
        <w:t xml:space="preserve">A key feature of these catalysts is the incorporation of hydrogen bonding appendages to aid in the proton transfer step of hydroesterification. </w:t>
      </w:r>
      <w:r w:rsidR="00AE3992" w:rsidRPr="007215D2">
        <w:t>We have synthesized a new ligand framework (Figure 4)</w:t>
      </w:r>
      <w:r w:rsidR="004013F4" w:rsidRPr="007215D2">
        <w:t xml:space="preserve"> and examined its use in </w:t>
      </w:r>
      <w:r w:rsidR="00877033" w:rsidRPr="007215D2">
        <w:t xml:space="preserve">ethylene polymerization, as a first step before testing it for productive alkene hydroesterification. </w:t>
      </w:r>
      <w:r w:rsidR="00F7795B" w:rsidRPr="007215D2">
        <w:t xml:space="preserve">Satisfyingly, these new catalyst frameworks are highly active for alkene polymerization, reaching up to 5,000 kg of polymer per mole of Ni per hour. </w:t>
      </w:r>
    </w:p>
    <w:p w14:paraId="5E201727" w14:textId="77777777" w:rsidR="00EB0462" w:rsidRDefault="00377785" w:rsidP="007215D2">
      <w:pPr>
        <w:jc w:val="both"/>
        <w:rPr>
          <w:sz w:val="22"/>
          <w:szCs w:val="22"/>
        </w:rPr>
      </w:pPr>
      <w:r>
        <w:rPr>
          <w:sz w:val="22"/>
          <w:szCs w:val="22"/>
        </w:rPr>
        <w:lastRenderedPageBreak/>
        <w:t xml:space="preserve"> </w:t>
      </w:r>
    </w:p>
    <w:p w14:paraId="1954C5F6" w14:textId="223AEC4F" w:rsidR="00EB0462" w:rsidRDefault="001422B8" w:rsidP="007215D2">
      <w:pPr>
        <w:jc w:val="center"/>
        <w:rPr>
          <w:sz w:val="22"/>
          <w:szCs w:val="22"/>
        </w:rPr>
      </w:pPr>
      <w:r w:rsidRPr="001422B8">
        <w:rPr>
          <w:noProof/>
          <w:sz w:val="22"/>
          <w:szCs w:val="22"/>
        </w:rPr>
        <w:drawing>
          <wp:inline distT="0" distB="0" distL="0" distR="0" wp14:anchorId="498855D6" wp14:editId="3F2377FB">
            <wp:extent cx="4160520" cy="1042416"/>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160520" cy="1042416"/>
                    </a:xfrm>
                    <a:prstGeom prst="rect">
                      <a:avLst/>
                    </a:prstGeom>
                  </pic:spPr>
                </pic:pic>
              </a:graphicData>
            </a:graphic>
          </wp:inline>
        </w:drawing>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0"/>
        <w:gridCol w:w="1870"/>
        <w:gridCol w:w="1870"/>
        <w:gridCol w:w="1870"/>
      </w:tblGrid>
      <w:tr w:rsidR="00EB0462" w14:paraId="3B808465" w14:textId="77777777" w:rsidTr="00EB0462">
        <w:tc>
          <w:tcPr>
            <w:tcW w:w="1870" w:type="dxa"/>
            <w:tcBorders>
              <w:top w:val="single" w:sz="4" w:space="0" w:color="auto"/>
              <w:bottom w:val="single" w:sz="4" w:space="0" w:color="auto"/>
            </w:tcBorders>
          </w:tcPr>
          <w:p w14:paraId="64828618" w14:textId="45DABD49" w:rsidR="00EB0462" w:rsidRPr="00EB0462" w:rsidRDefault="00EB0462" w:rsidP="007215D2">
            <w:pPr>
              <w:jc w:val="both"/>
              <w:rPr>
                <w:sz w:val="22"/>
                <w:szCs w:val="22"/>
              </w:rPr>
            </w:pPr>
            <w:r>
              <w:rPr>
                <w:sz w:val="22"/>
                <w:szCs w:val="22"/>
              </w:rPr>
              <w:t>Equiv. ZnEt</w:t>
            </w:r>
            <w:r>
              <w:rPr>
                <w:sz w:val="22"/>
                <w:szCs w:val="22"/>
                <w:vertAlign w:val="subscript"/>
              </w:rPr>
              <w:t>2</w:t>
            </w:r>
          </w:p>
        </w:tc>
        <w:tc>
          <w:tcPr>
            <w:tcW w:w="1870" w:type="dxa"/>
            <w:tcBorders>
              <w:top w:val="single" w:sz="4" w:space="0" w:color="auto"/>
              <w:bottom w:val="single" w:sz="4" w:space="0" w:color="auto"/>
            </w:tcBorders>
          </w:tcPr>
          <w:p w14:paraId="7E5F3F34" w14:textId="51E5FA68" w:rsidR="00EB0462" w:rsidRDefault="00EB0462" w:rsidP="007215D2">
            <w:pPr>
              <w:jc w:val="both"/>
              <w:rPr>
                <w:sz w:val="22"/>
                <w:szCs w:val="22"/>
              </w:rPr>
            </w:pPr>
            <w:r>
              <w:rPr>
                <w:sz w:val="22"/>
                <w:szCs w:val="22"/>
              </w:rPr>
              <w:t>Polymer Yield (g)</w:t>
            </w:r>
          </w:p>
        </w:tc>
        <w:tc>
          <w:tcPr>
            <w:tcW w:w="1870" w:type="dxa"/>
            <w:tcBorders>
              <w:top w:val="single" w:sz="4" w:space="0" w:color="auto"/>
              <w:bottom w:val="single" w:sz="4" w:space="0" w:color="auto"/>
            </w:tcBorders>
          </w:tcPr>
          <w:p w14:paraId="7F4130A0" w14:textId="541563D1" w:rsidR="00EB0462" w:rsidRDefault="00EB0462" w:rsidP="007215D2">
            <w:pPr>
              <w:jc w:val="both"/>
              <w:rPr>
                <w:sz w:val="22"/>
                <w:szCs w:val="22"/>
              </w:rPr>
            </w:pPr>
            <w:r>
              <w:rPr>
                <w:sz w:val="22"/>
                <w:szCs w:val="22"/>
              </w:rPr>
              <w:t>Activity</w:t>
            </w:r>
          </w:p>
          <w:p w14:paraId="2708A1BB" w14:textId="02F35E58" w:rsidR="00EB0462" w:rsidRPr="00EB0462" w:rsidRDefault="00EB0462" w:rsidP="007215D2">
            <w:pPr>
              <w:jc w:val="both"/>
              <w:rPr>
                <w:sz w:val="22"/>
                <w:szCs w:val="22"/>
              </w:rPr>
            </w:pPr>
            <w:r>
              <w:rPr>
                <w:sz w:val="22"/>
                <w:szCs w:val="22"/>
              </w:rPr>
              <w:t>(kg*mol</w:t>
            </w:r>
            <w:r>
              <w:rPr>
                <w:sz w:val="22"/>
                <w:szCs w:val="22"/>
                <w:vertAlign w:val="superscript"/>
              </w:rPr>
              <w:t>-1</w:t>
            </w:r>
            <w:r>
              <w:rPr>
                <w:sz w:val="22"/>
                <w:szCs w:val="22"/>
              </w:rPr>
              <w:t>*h</w:t>
            </w:r>
            <w:r>
              <w:rPr>
                <w:sz w:val="22"/>
                <w:szCs w:val="22"/>
                <w:vertAlign w:val="superscript"/>
              </w:rPr>
              <w:t>-1</w:t>
            </w:r>
            <w:r>
              <w:rPr>
                <w:sz w:val="22"/>
                <w:szCs w:val="22"/>
              </w:rPr>
              <w:t>)</w:t>
            </w:r>
          </w:p>
        </w:tc>
        <w:tc>
          <w:tcPr>
            <w:tcW w:w="1870" w:type="dxa"/>
            <w:tcBorders>
              <w:top w:val="single" w:sz="4" w:space="0" w:color="auto"/>
              <w:bottom w:val="single" w:sz="4" w:space="0" w:color="auto"/>
            </w:tcBorders>
          </w:tcPr>
          <w:p w14:paraId="113155E2" w14:textId="4D76FEF4" w:rsidR="00EB0462" w:rsidRDefault="00EB0462" w:rsidP="007215D2">
            <w:pPr>
              <w:jc w:val="both"/>
              <w:rPr>
                <w:sz w:val="22"/>
                <w:szCs w:val="22"/>
              </w:rPr>
            </w:pPr>
            <w:r>
              <w:rPr>
                <w:sz w:val="22"/>
                <w:szCs w:val="22"/>
              </w:rPr>
              <w:t>PDI</w:t>
            </w:r>
          </w:p>
        </w:tc>
        <w:tc>
          <w:tcPr>
            <w:tcW w:w="1870" w:type="dxa"/>
            <w:tcBorders>
              <w:top w:val="single" w:sz="4" w:space="0" w:color="auto"/>
              <w:bottom w:val="single" w:sz="4" w:space="0" w:color="auto"/>
            </w:tcBorders>
          </w:tcPr>
          <w:p w14:paraId="681AD717" w14:textId="53A31DAB" w:rsidR="00EB0462" w:rsidRDefault="00EB0462" w:rsidP="007215D2">
            <w:pPr>
              <w:jc w:val="both"/>
              <w:rPr>
                <w:sz w:val="22"/>
                <w:szCs w:val="22"/>
              </w:rPr>
            </w:pPr>
            <w:r>
              <w:rPr>
                <w:sz w:val="22"/>
                <w:szCs w:val="22"/>
              </w:rPr>
              <w:t>M</w:t>
            </w:r>
            <w:r>
              <w:rPr>
                <w:sz w:val="22"/>
                <w:szCs w:val="22"/>
                <w:vertAlign w:val="subscript"/>
              </w:rPr>
              <w:t>n</w:t>
            </w:r>
          </w:p>
          <w:p w14:paraId="2CB87580" w14:textId="68BA7488" w:rsidR="00EB0462" w:rsidRPr="00EB0462" w:rsidRDefault="00EB0462" w:rsidP="007215D2">
            <w:pPr>
              <w:jc w:val="both"/>
              <w:rPr>
                <w:sz w:val="22"/>
                <w:szCs w:val="22"/>
              </w:rPr>
            </w:pPr>
            <w:r>
              <w:rPr>
                <w:sz w:val="22"/>
                <w:szCs w:val="22"/>
              </w:rPr>
              <w:t>(g*mol</w:t>
            </w:r>
            <w:r>
              <w:rPr>
                <w:sz w:val="22"/>
                <w:szCs w:val="22"/>
                <w:vertAlign w:val="superscript"/>
              </w:rPr>
              <w:t>-1</w:t>
            </w:r>
            <w:r>
              <w:rPr>
                <w:sz w:val="22"/>
                <w:szCs w:val="22"/>
              </w:rPr>
              <w:t xml:space="preserve"> * 10</w:t>
            </w:r>
            <w:r>
              <w:rPr>
                <w:sz w:val="22"/>
                <w:szCs w:val="22"/>
                <w:vertAlign w:val="superscript"/>
              </w:rPr>
              <w:t>-5</w:t>
            </w:r>
            <w:r>
              <w:rPr>
                <w:sz w:val="22"/>
                <w:szCs w:val="22"/>
              </w:rPr>
              <w:t>)</w:t>
            </w:r>
          </w:p>
        </w:tc>
      </w:tr>
      <w:tr w:rsidR="00EB0462" w14:paraId="5DD0978C" w14:textId="77777777" w:rsidTr="00EB0462">
        <w:tc>
          <w:tcPr>
            <w:tcW w:w="1870" w:type="dxa"/>
            <w:tcBorders>
              <w:top w:val="single" w:sz="4" w:space="0" w:color="auto"/>
            </w:tcBorders>
          </w:tcPr>
          <w:p w14:paraId="4C63E8D0" w14:textId="33B613AC" w:rsidR="00EB0462" w:rsidRDefault="00EB0462" w:rsidP="007215D2">
            <w:pPr>
              <w:jc w:val="both"/>
              <w:rPr>
                <w:sz w:val="22"/>
                <w:szCs w:val="22"/>
              </w:rPr>
            </w:pPr>
            <w:r>
              <w:rPr>
                <w:sz w:val="22"/>
                <w:szCs w:val="22"/>
              </w:rPr>
              <w:t>0</w:t>
            </w:r>
          </w:p>
        </w:tc>
        <w:tc>
          <w:tcPr>
            <w:tcW w:w="1870" w:type="dxa"/>
            <w:tcBorders>
              <w:top w:val="single" w:sz="4" w:space="0" w:color="auto"/>
            </w:tcBorders>
          </w:tcPr>
          <w:p w14:paraId="2FE75066" w14:textId="6347579F" w:rsidR="00EB0462" w:rsidRDefault="00EB0462" w:rsidP="007215D2">
            <w:pPr>
              <w:jc w:val="both"/>
              <w:rPr>
                <w:sz w:val="22"/>
                <w:szCs w:val="22"/>
              </w:rPr>
            </w:pPr>
            <w:r>
              <w:rPr>
                <w:sz w:val="22"/>
                <w:szCs w:val="22"/>
              </w:rPr>
              <w:t>0.333</w:t>
            </w:r>
          </w:p>
        </w:tc>
        <w:tc>
          <w:tcPr>
            <w:tcW w:w="1870" w:type="dxa"/>
            <w:tcBorders>
              <w:top w:val="single" w:sz="4" w:space="0" w:color="auto"/>
            </w:tcBorders>
          </w:tcPr>
          <w:p w14:paraId="580434EA" w14:textId="63E294B6" w:rsidR="00EB0462" w:rsidRDefault="00EB0462" w:rsidP="007215D2">
            <w:pPr>
              <w:jc w:val="both"/>
              <w:rPr>
                <w:sz w:val="22"/>
                <w:szCs w:val="22"/>
              </w:rPr>
            </w:pPr>
            <w:r>
              <w:rPr>
                <w:sz w:val="22"/>
                <w:szCs w:val="22"/>
              </w:rPr>
              <w:t>3330</w:t>
            </w:r>
          </w:p>
        </w:tc>
        <w:tc>
          <w:tcPr>
            <w:tcW w:w="1870" w:type="dxa"/>
            <w:tcBorders>
              <w:top w:val="single" w:sz="4" w:space="0" w:color="auto"/>
            </w:tcBorders>
          </w:tcPr>
          <w:p w14:paraId="346EE95F" w14:textId="066FF771" w:rsidR="00EB0462" w:rsidRDefault="00EB0462" w:rsidP="007215D2">
            <w:pPr>
              <w:jc w:val="both"/>
              <w:rPr>
                <w:sz w:val="22"/>
                <w:szCs w:val="22"/>
              </w:rPr>
            </w:pPr>
            <w:r>
              <w:rPr>
                <w:sz w:val="22"/>
                <w:szCs w:val="22"/>
              </w:rPr>
              <w:t>1.67</w:t>
            </w:r>
          </w:p>
        </w:tc>
        <w:tc>
          <w:tcPr>
            <w:tcW w:w="1870" w:type="dxa"/>
            <w:tcBorders>
              <w:top w:val="single" w:sz="4" w:space="0" w:color="auto"/>
            </w:tcBorders>
          </w:tcPr>
          <w:p w14:paraId="1DFBBEBA" w14:textId="10745E0E" w:rsidR="00EB0462" w:rsidRDefault="00EB0462" w:rsidP="007215D2">
            <w:pPr>
              <w:jc w:val="both"/>
              <w:rPr>
                <w:sz w:val="22"/>
                <w:szCs w:val="22"/>
              </w:rPr>
            </w:pPr>
            <w:r>
              <w:rPr>
                <w:sz w:val="22"/>
                <w:szCs w:val="22"/>
              </w:rPr>
              <w:t>14.9</w:t>
            </w:r>
          </w:p>
        </w:tc>
      </w:tr>
      <w:tr w:rsidR="00EB0462" w14:paraId="4728B754" w14:textId="77777777" w:rsidTr="00EB0462">
        <w:tc>
          <w:tcPr>
            <w:tcW w:w="1870" w:type="dxa"/>
          </w:tcPr>
          <w:p w14:paraId="2652B59F" w14:textId="6B1D6C32" w:rsidR="00EB0462" w:rsidRDefault="00EB0462" w:rsidP="007215D2">
            <w:pPr>
              <w:jc w:val="both"/>
              <w:rPr>
                <w:sz w:val="22"/>
                <w:szCs w:val="22"/>
              </w:rPr>
            </w:pPr>
            <w:r>
              <w:rPr>
                <w:sz w:val="22"/>
                <w:szCs w:val="22"/>
              </w:rPr>
              <w:t>100</w:t>
            </w:r>
          </w:p>
        </w:tc>
        <w:tc>
          <w:tcPr>
            <w:tcW w:w="1870" w:type="dxa"/>
          </w:tcPr>
          <w:p w14:paraId="4E0E4D7B" w14:textId="42F94ED2" w:rsidR="00EB0462" w:rsidRDefault="00EB0462" w:rsidP="007215D2">
            <w:pPr>
              <w:jc w:val="both"/>
              <w:rPr>
                <w:sz w:val="22"/>
                <w:szCs w:val="22"/>
              </w:rPr>
            </w:pPr>
            <w:r>
              <w:rPr>
                <w:sz w:val="22"/>
                <w:szCs w:val="22"/>
              </w:rPr>
              <w:t>0.502</w:t>
            </w:r>
          </w:p>
        </w:tc>
        <w:tc>
          <w:tcPr>
            <w:tcW w:w="1870" w:type="dxa"/>
          </w:tcPr>
          <w:p w14:paraId="15BF54C8" w14:textId="5B48F4CF" w:rsidR="00EB0462" w:rsidRDefault="00EB0462" w:rsidP="007215D2">
            <w:pPr>
              <w:jc w:val="both"/>
              <w:rPr>
                <w:sz w:val="22"/>
                <w:szCs w:val="22"/>
              </w:rPr>
            </w:pPr>
            <w:r>
              <w:rPr>
                <w:sz w:val="22"/>
                <w:szCs w:val="22"/>
              </w:rPr>
              <w:t>5020</w:t>
            </w:r>
          </w:p>
        </w:tc>
        <w:tc>
          <w:tcPr>
            <w:tcW w:w="1870" w:type="dxa"/>
          </w:tcPr>
          <w:p w14:paraId="6824421D" w14:textId="18E48C1B" w:rsidR="00EB0462" w:rsidRDefault="00EB0462" w:rsidP="007215D2">
            <w:pPr>
              <w:jc w:val="both"/>
              <w:rPr>
                <w:sz w:val="22"/>
                <w:szCs w:val="22"/>
              </w:rPr>
            </w:pPr>
            <w:r>
              <w:rPr>
                <w:sz w:val="22"/>
                <w:szCs w:val="22"/>
              </w:rPr>
              <w:t>1.70</w:t>
            </w:r>
          </w:p>
        </w:tc>
        <w:tc>
          <w:tcPr>
            <w:tcW w:w="1870" w:type="dxa"/>
          </w:tcPr>
          <w:p w14:paraId="52093AFC" w14:textId="12DFB8A9" w:rsidR="00EB0462" w:rsidRDefault="00EB0462" w:rsidP="007215D2">
            <w:pPr>
              <w:jc w:val="both"/>
              <w:rPr>
                <w:sz w:val="22"/>
                <w:szCs w:val="22"/>
              </w:rPr>
            </w:pPr>
            <w:r>
              <w:rPr>
                <w:sz w:val="22"/>
                <w:szCs w:val="22"/>
              </w:rPr>
              <w:t>15.3</w:t>
            </w:r>
          </w:p>
        </w:tc>
      </w:tr>
      <w:tr w:rsidR="00EB0462" w14:paraId="0C627164" w14:textId="77777777" w:rsidTr="00EB0462">
        <w:trPr>
          <w:trHeight w:val="215"/>
        </w:trPr>
        <w:tc>
          <w:tcPr>
            <w:tcW w:w="1870" w:type="dxa"/>
          </w:tcPr>
          <w:p w14:paraId="000DECEF" w14:textId="62CCBBA3" w:rsidR="00EB0462" w:rsidRDefault="00EB0462" w:rsidP="007215D2">
            <w:pPr>
              <w:jc w:val="both"/>
              <w:rPr>
                <w:sz w:val="22"/>
                <w:szCs w:val="22"/>
              </w:rPr>
            </w:pPr>
            <w:r>
              <w:rPr>
                <w:sz w:val="22"/>
                <w:szCs w:val="22"/>
              </w:rPr>
              <w:t>500</w:t>
            </w:r>
          </w:p>
        </w:tc>
        <w:tc>
          <w:tcPr>
            <w:tcW w:w="1870" w:type="dxa"/>
          </w:tcPr>
          <w:p w14:paraId="31473104" w14:textId="7151A2E1" w:rsidR="00EB0462" w:rsidRDefault="00EB0462" w:rsidP="007215D2">
            <w:pPr>
              <w:jc w:val="both"/>
              <w:rPr>
                <w:sz w:val="22"/>
                <w:szCs w:val="22"/>
              </w:rPr>
            </w:pPr>
            <w:r>
              <w:rPr>
                <w:sz w:val="22"/>
                <w:szCs w:val="22"/>
              </w:rPr>
              <w:t>0.374</w:t>
            </w:r>
          </w:p>
        </w:tc>
        <w:tc>
          <w:tcPr>
            <w:tcW w:w="1870" w:type="dxa"/>
          </w:tcPr>
          <w:p w14:paraId="13303608" w14:textId="2BBBDE7F" w:rsidR="00EB0462" w:rsidRDefault="00EB0462" w:rsidP="007215D2">
            <w:pPr>
              <w:jc w:val="both"/>
              <w:rPr>
                <w:sz w:val="22"/>
                <w:szCs w:val="22"/>
              </w:rPr>
            </w:pPr>
            <w:r>
              <w:rPr>
                <w:sz w:val="22"/>
                <w:szCs w:val="22"/>
              </w:rPr>
              <w:t>3740</w:t>
            </w:r>
          </w:p>
        </w:tc>
        <w:tc>
          <w:tcPr>
            <w:tcW w:w="1870" w:type="dxa"/>
          </w:tcPr>
          <w:p w14:paraId="3B958E46" w14:textId="61538354" w:rsidR="00EB0462" w:rsidRDefault="00EB0462" w:rsidP="007215D2">
            <w:pPr>
              <w:jc w:val="both"/>
              <w:rPr>
                <w:sz w:val="22"/>
                <w:szCs w:val="22"/>
              </w:rPr>
            </w:pPr>
            <w:r>
              <w:rPr>
                <w:sz w:val="22"/>
                <w:szCs w:val="22"/>
              </w:rPr>
              <w:t>1.35</w:t>
            </w:r>
          </w:p>
        </w:tc>
        <w:tc>
          <w:tcPr>
            <w:tcW w:w="1870" w:type="dxa"/>
          </w:tcPr>
          <w:p w14:paraId="737FE433" w14:textId="5BE21B82" w:rsidR="00EB0462" w:rsidRDefault="00EB0462" w:rsidP="007215D2">
            <w:pPr>
              <w:jc w:val="both"/>
              <w:rPr>
                <w:sz w:val="22"/>
                <w:szCs w:val="22"/>
              </w:rPr>
            </w:pPr>
            <w:r>
              <w:rPr>
                <w:sz w:val="22"/>
                <w:szCs w:val="22"/>
              </w:rPr>
              <w:t>6.10</w:t>
            </w:r>
          </w:p>
        </w:tc>
      </w:tr>
    </w:tbl>
    <w:p w14:paraId="22B34D3C" w14:textId="655A8EAB" w:rsidR="00073876" w:rsidRDefault="00073876" w:rsidP="007215D2">
      <w:pPr>
        <w:jc w:val="both"/>
        <w:rPr>
          <w:sz w:val="22"/>
          <w:szCs w:val="22"/>
        </w:rPr>
      </w:pPr>
    </w:p>
    <w:p w14:paraId="53A6A926" w14:textId="2CB43B54" w:rsidR="00DD4E64" w:rsidRPr="00EB0462" w:rsidRDefault="00EB0462" w:rsidP="007215D2">
      <w:pPr>
        <w:jc w:val="both"/>
        <w:rPr>
          <w:sz w:val="22"/>
          <w:szCs w:val="22"/>
        </w:rPr>
      </w:pPr>
      <w:r>
        <w:rPr>
          <w:b/>
          <w:sz w:val="22"/>
          <w:szCs w:val="22"/>
        </w:rPr>
        <w:t>Figure 4.</w:t>
      </w:r>
      <w:r>
        <w:rPr>
          <w:sz w:val="22"/>
          <w:szCs w:val="22"/>
        </w:rPr>
        <w:t xml:space="preserve"> Ethylene polymerization activity of new hydrogen bonding appended Ni polymerization catalysts.</w:t>
      </w:r>
    </w:p>
    <w:p w14:paraId="3BB3F30B" w14:textId="77777777" w:rsidR="00CA709B" w:rsidRDefault="00CA709B" w:rsidP="007215D2">
      <w:pPr>
        <w:jc w:val="both"/>
        <w:rPr>
          <w:sz w:val="22"/>
          <w:szCs w:val="22"/>
        </w:rPr>
      </w:pPr>
    </w:p>
    <w:p w14:paraId="017FB77B" w14:textId="77777777" w:rsidR="00EB21FE" w:rsidRDefault="00EB21FE" w:rsidP="007215D2">
      <w:pPr>
        <w:jc w:val="both"/>
        <w:rPr>
          <w:sz w:val="22"/>
          <w:szCs w:val="22"/>
        </w:rPr>
      </w:pPr>
      <w:r w:rsidRPr="00E67F90">
        <w:rPr>
          <w:sz w:val="22"/>
          <w:szCs w:val="22"/>
        </w:rPr>
        <w:t xml:space="preserve">2.) </w:t>
      </w:r>
      <w:r w:rsidR="008926A7">
        <w:rPr>
          <w:sz w:val="22"/>
          <w:szCs w:val="22"/>
        </w:rPr>
        <w:t>IDENTIFY ANY SIGNIFICANT FINDINGS AND RESULTS OF THE PROJECT TO DATE.</w:t>
      </w:r>
      <w:r w:rsidRPr="00E67F90">
        <w:rPr>
          <w:sz w:val="22"/>
          <w:szCs w:val="22"/>
        </w:rPr>
        <w:t xml:space="preserve"> </w:t>
      </w:r>
    </w:p>
    <w:p w14:paraId="1BAE8BEE" w14:textId="77777777" w:rsidR="00926498" w:rsidRDefault="00926498" w:rsidP="007215D2">
      <w:pPr>
        <w:jc w:val="both"/>
        <w:rPr>
          <w:sz w:val="22"/>
          <w:szCs w:val="22"/>
        </w:rPr>
      </w:pPr>
    </w:p>
    <w:p w14:paraId="123ADD51" w14:textId="08525F69" w:rsidR="00926498" w:rsidRPr="007215D2" w:rsidRDefault="007215D2" w:rsidP="007215D2">
      <w:pPr>
        <w:jc w:val="both"/>
      </w:pPr>
      <w:r w:rsidRPr="007215D2">
        <w:t>In the Hillmyer/Tonks project researchers</w:t>
      </w:r>
      <w:r w:rsidR="00926498" w:rsidRPr="007215D2">
        <w:t xml:space="preserve"> have identified key side reactions/products in the hydroesterificative polymerization of HMS, namely aceylation, hydroxycarbonylation, and benzyl alcohol oxidation. This knowledge informed our choice of other substrate targets, and we were able to successfully demonstrate the application of hydroesterificative polymerization towards the synthesis of poly(dodecyloate) from 10-undecenol and CO in moderate molar masses (</w:t>
      </w:r>
      <w:r w:rsidR="00926498" w:rsidRPr="007215D2">
        <w:rPr>
          <w:i/>
        </w:rPr>
        <w:t>M</w:t>
      </w:r>
      <w:r w:rsidR="00926498" w:rsidRPr="007215D2">
        <w:rPr>
          <w:vertAlign w:val="subscript"/>
        </w:rPr>
        <w:t>n</w:t>
      </w:r>
      <w:r w:rsidR="00926498" w:rsidRPr="007215D2">
        <w:t xml:space="preserve"> ~ 16 kg/mol) and branched to linear ratios of 20:80. We were also able to demonstrate the use of Pd</w:t>
      </w:r>
      <w:r w:rsidR="00926498" w:rsidRPr="007215D2">
        <w:rPr>
          <w:vertAlign w:val="superscript"/>
        </w:rPr>
        <w:t>0</w:t>
      </w:r>
      <w:r w:rsidR="00926498" w:rsidRPr="007215D2">
        <w:t xml:space="preserve"> as a suitable precatalyst for this chemistry, which we hope will lead to further mitigation of side chemistries. We are very close to submitting this work for publication. In pursuit of other substrates for this chemistry, namely those derived from lactide and isosorbide, we have preliminarily shown that ester formation occurs, but reactions are slow and give low conversions thus far. </w:t>
      </w:r>
    </w:p>
    <w:p w14:paraId="5B22E788" w14:textId="65192292" w:rsidR="007215D2" w:rsidRDefault="007215D2" w:rsidP="007215D2">
      <w:pPr>
        <w:jc w:val="both"/>
        <w:rPr>
          <w:sz w:val="22"/>
          <w:szCs w:val="22"/>
        </w:rPr>
      </w:pPr>
    </w:p>
    <w:p w14:paraId="7056D2B2" w14:textId="40A0B38E" w:rsidR="007215D2" w:rsidRDefault="007215D2" w:rsidP="007215D2">
      <w:pPr>
        <w:jc w:val="both"/>
      </w:pPr>
      <w:r>
        <w:t>The Hoye group has continued to study the polymerization of the novel</w:t>
      </w:r>
      <w:r w:rsidRPr="000B3CA6">
        <w:t xml:space="preserve"> monomer 4-ketovalerolactone (</w:t>
      </w:r>
      <w:r w:rsidRPr="000B3CA6">
        <w:rPr>
          <w:b/>
        </w:rPr>
        <w:t>KVL</w:t>
      </w:r>
      <w:r w:rsidRPr="000B3CA6">
        <w:t>) prepared from levulinic acid,</w:t>
      </w:r>
      <w:r>
        <w:t xml:space="preserve"> in turn</w:t>
      </w:r>
      <w:r w:rsidRPr="000B3CA6">
        <w:t xml:space="preserve"> readily available from si</w:t>
      </w:r>
      <w:r>
        <w:t>x-carbon sugars such as glucose.</w:t>
      </w:r>
      <w:r w:rsidRPr="000B3CA6">
        <w:t xml:space="preserve"> </w:t>
      </w:r>
      <w:r>
        <w:t>The product</w:t>
      </w:r>
      <w:r w:rsidRPr="000B3CA6">
        <w:t xml:space="preserve"> poly(ketovalerolactone) (</w:t>
      </w:r>
      <w:r w:rsidRPr="000B3CA6">
        <w:rPr>
          <w:b/>
        </w:rPr>
        <w:t>PKVL</w:t>
      </w:r>
      <w:r w:rsidRPr="000B3CA6">
        <w:t xml:space="preserve">) </w:t>
      </w:r>
      <w:r>
        <w:t xml:space="preserve">is prepared </w:t>
      </w:r>
      <w:r w:rsidRPr="000B3CA6">
        <w:t xml:space="preserve">by ring-opening transesterification polymerization (ROTEP) (Figure </w:t>
      </w:r>
      <w:r>
        <w:t>5</w:t>
      </w:r>
      <w:r w:rsidRPr="000B3CA6">
        <w:t>). These</w:t>
      </w:r>
      <w:r>
        <w:t xml:space="preserve"> polymerization reactions</w:t>
      </w:r>
      <w:r w:rsidRPr="000B3CA6">
        <w:t xml:space="preserve"> are carried out in the melt state of neat </w:t>
      </w:r>
      <w:r w:rsidRPr="000B3CA6">
        <w:rPr>
          <w:b/>
        </w:rPr>
        <w:t>KVL</w:t>
      </w:r>
      <w:r w:rsidRPr="000B3CA6">
        <w:t xml:space="preserve">, </w:t>
      </w:r>
      <w:r>
        <w:t>using</w:t>
      </w:r>
      <w:r w:rsidRPr="000B3CA6">
        <w:t xml:space="preserve"> an alcohol initiator and an acidic catalyst, until complete solidification of the reaction mixture</w:t>
      </w:r>
      <w:r>
        <w:t xml:space="preserve"> is observed</w:t>
      </w:r>
      <w:r w:rsidRPr="000B3CA6">
        <w:t xml:space="preserve">. The resulting </w:t>
      </w:r>
      <w:r>
        <w:t>powdery</w:t>
      </w:r>
      <w:r w:rsidRPr="000B3CA6">
        <w:t xml:space="preserve"> samples of </w:t>
      </w:r>
      <w:r w:rsidRPr="000B3CA6">
        <w:rPr>
          <w:b/>
        </w:rPr>
        <w:t>PKVL</w:t>
      </w:r>
      <w:r>
        <w:t xml:space="preserve"> have</w:t>
      </w:r>
      <w:r w:rsidRPr="000B3CA6">
        <w:t xml:space="preserve"> relatively high melting temperature</w:t>
      </w:r>
      <w:r>
        <w:t>s</w:t>
      </w:r>
      <w:r w:rsidRPr="000B3CA6">
        <w:t xml:space="preserve"> </w:t>
      </w:r>
      <w:r>
        <w:t>(ca. 130 °C) and</w:t>
      </w:r>
      <w:r w:rsidRPr="000B3CA6">
        <w:t xml:space="preserve"> low glass transition temperature</w:t>
      </w:r>
      <w:r>
        <w:t>s</w:t>
      </w:r>
      <w:r w:rsidRPr="000B3CA6">
        <w:t xml:space="preserve"> (ca. 5 °C). The absence of significant phase transitions </w:t>
      </w:r>
      <w:r>
        <w:t>across a</w:t>
      </w:r>
      <w:r w:rsidRPr="000B3CA6">
        <w:t xml:space="preserve"> temperature range between ambient and the boiling </w:t>
      </w:r>
      <w:r>
        <w:t>point</w:t>
      </w:r>
      <w:r w:rsidRPr="000B3CA6">
        <w:t xml:space="preserve"> of water suggests</w:t>
      </w:r>
      <w:r>
        <w:t xml:space="preserve"> the potential for</w:t>
      </w:r>
      <w:r w:rsidRPr="000B3CA6">
        <w:t xml:space="preserve"> promising application of </w:t>
      </w:r>
      <w:r w:rsidRPr="000B3CA6">
        <w:rPr>
          <w:b/>
        </w:rPr>
        <w:t>PKVL</w:t>
      </w:r>
      <w:r w:rsidRPr="000B3CA6">
        <w:t xml:space="preserve">. </w:t>
      </w:r>
      <w:r>
        <w:t xml:space="preserve">We are beginning to explore the copolymerization of </w:t>
      </w:r>
      <w:r w:rsidRPr="00083041">
        <w:rPr>
          <w:b/>
        </w:rPr>
        <w:t>KVL</w:t>
      </w:r>
      <w:r>
        <w:t xml:space="preserve"> with valerolactone and 3-methylvalerolactone (also, from glucose) to further modify the properties of the resulting polymers.</w:t>
      </w:r>
    </w:p>
    <w:p w14:paraId="4DDDD8E5" w14:textId="77777777" w:rsidR="007215D2" w:rsidRPr="000B3CA6" w:rsidRDefault="007215D2" w:rsidP="007215D2">
      <w:pPr>
        <w:jc w:val="both"/>
      </w:pPr>
    </w:p>
    <w:p w14:paraId="52D6A820" w14:textId="77777777" w:rsidR="007215D2" w:rsidRDefault="00761131" w:rsidP="007215D2">
      <w:pPr>
        <w:jc w:val="center"/>
      </w:pPr>
      <w:r>
        <w:rPr>
          <w:noProof/>
        </w:rPr>
        <w:object w:dxaOrig="4920" w:dyaOrig="1490" w14:anchorId="2772FF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1pt;height:52.2pt;mso-width-percent:0;mso-height-percent:0;mso-width-percent:0;mso-height-percent:0" o:ole="">
            <v:imagedata r:id="rId12" o:title=""/>
          </v:shape>
          <o:OLEObject Type="Embed" ProgID="ChemDraw.Document.6.0" ShapeID="_x0000_i1025" DrawAspect="Content" ObjectID="_1610428357" r:id="rId13"/>
        </w:object>
      </w:r>
    </w:p>
    <w:p w14:paraId="0FFCB2CA" w14:textId="77777777" w:rsidR="007215D2" w:rsidRDefault="007215D2" w:rsidP="007215D2">
      <w:pPr>
        <w:jc w:val="both"/>
      </w:pPr>
    </w:p>
    <w:p w14:paraId="6C6396B8" w14:textId="34427EE3" w:rsidR="007215D2" w:rsidRDefault="007215D2" w:rsidP="007215D2">
      <w:pPr>
        <w:jc w:val="both"/>
      </w:pPr>
      <w:r w:rsidRPr="000B3CA6">
        <w:rPr>
          <w:b/>
        </w:rPr>
        <w:t xml:space="preserve">Figure </w:t>
      </w:r>
      <w:r>
        <w:rPr>
          <w:b/>
        </w:rPr>
        <w:t>5</w:t>
      </w:r>
      <w:r w:rsidRPr="000B3CA6">
        <w:rPr>
          <w:b/>
        </w:rPr>
        <w:t>.</w:t>
      </w:r>
      <w:r>
        <w:rPr>
          <w:b/>
        </w:rPr>
        <w:t xml:space="preserve"> </w:t>
      </w:r>
      <w:r w:rsidRPr="000B3CA6">
        <w:t xml:space="preserve">Synthesis of </w:t>
      </w:r>
      <w:r w:rsidRPr="000B3CA6">
        <w:rPr>
          <w:b/>
        </w:rPr>
        <w:t>PKVL</w:t>
      </w:r>
      <w:r w:rsidRPr="000B3CA6">
        <w:t xml:space="preserve"> from </w:t>
      </w:r>
      <w:r w:rsidRPr="000B3CA6">
        <w:rPr>
          <w:b/>
        </w:rPr>
        <w:t>KVL</w:t>
      </w:r>
      <w:r w:rsidRPr="000B3CA6">
        <w:t xml:space="preserve"> by ring-opening transesterification (ROTEP).</w:t>
      </w:r>
    </w:p>
    <w:p w14:paraId="4399F88B" w14:textId="77777777" w:rsidR="007215D2" w:rsidRPr="000B3CA6" w:rsidRDefault="007215D2" w:rsidP="007215D2">
      <w:pPr>
        <w:jc w:val="both"/>
      </w:pPr>
    </w:p>
    <w:p w14:paraId="04E0D553" w14:textId="63845EF2" w:rsidR="007215D2" w:rsidRPr="00036D6A" w:rsidRDefault="007215D2" w:rsidP="007215D2">
      <w:pPr>
        <w:jc w:val="both"/>
      </w:pPr>
      <w:r w:rsidRPr="000B3CA6">
        <w:t>Using strategies to</w:t>
      </w:r>
      <w:r>
        <w:t xml:space="preserve"> those used to</w:t>
      </w:r>
      <w:r w:rsidRPr="000B3CA6">
        <w:t xml:space="preserve"> synthesize </w:t>
      </w:r>
      <w:r w:rsidRPr="000B3CA6">
        <w:rPr>
          <w:b/>
        </w:rPr>
        <w:t>KVL</w:t>
      </w:r>
      <w:r w:rsidRPr="000B3CA6">
        <w:t xml:space="preserve"> from levulinic acid</w:t>
      </w:r>
      <w:r>
        <w:t xml:space="preserve"> (Figure 6a)</w:t>
      </w:r>
      <w:r w:rsidRPr="000B3CA6">
        <w:t>, we can also produce 3-acetylpropiolactone (</w:t>
      </w:r>
      <w:r w:rsidRPr="000B3CA6">
        <w:rPr>
          <w:b/>
        </w:rPr>
        <w:t>APL</w:t>
      </w:r>
      <w:r>
        <w:t xml:space="preserve">) (Figure 6b) via the isomeric </w:t>
      </w:r>
      <w:r w:rsidRPr="000B3CA6">
        <w:t>brominated intermediate</w:t>
      </w:r>
      <w:r>
        <w:t xml:space="preserve"> 3-bromolevulinic acid</w:t>
      </w:r>
      <w:r w:rsidRPr="000B3CA6">
        <w:t xml:space="preserve"> </w:t>
      </w:r>
      <w:r>
        <w:t>(</w:t>
      </w:r>
      <w:r w:rsidRPr="000B3CA6">
        <w:rPr>
          <w:b/>
        </w:rPr>
        <w:t>3-BLA</w:t>
      </w:r>
      <w:r>
        <w:rPr>
          <w:b/>
        </w:rPr>
        <w:t>)</w:t>
      </w:r>
      <w:r w:rsidRPr="000B3CA6">
        <w:t xml:space="preserve">. </w:t>
      </w:r>
      <w:r>
        <w:t>In this</w:t>
      </w:r>
      <w:r w:rsidRPr="000B3CA6">
        <w:t xml:space="preserve"> brom</w:t>
      </w:r>
      <w:r>
        <w:t>ination reaction, we have observed high selectivity for formation of</w:t>
      </w:r>
      <w:r w:rsidRPr="000B3CA6">
        <w:t xml:space="preserve"> </w:t>
      </w:r>
      <w:r w:rsidRPr="000B3CA6">
        <w:rPr>
          <w:b/>
        </w:rPr>
        <w:t xml:space="preserve">3-BLA </w:t>
      </w:r>
      <w:r w:rsidRPr="000B3CA6">
        <w:t xml:space="preserve">instead of </w:t>
      </w:r>
      <w:r w:rsidRPr="000B3CA6">
        <w:rPr>
          <w:b/>
        </w:rPr>
        <w:t>5-BLA</w:t>
      </w:r>
      <w:r>
        <w:t>, a process controlled by the choice of reaction solvent</w:t>
      </w:r>
      <w:r w:rsidRPr="000B3CA6">
        <w:t xml:space="preserve"> and </w:t>
      </w:r>
      <w:r>
        <w:t>basic reagent</w:t>
      </w:r>
      <w:r w:rsidRPr="000B3CA6">
        <w:t>. The ring closing step</w:t>
      </w:r>
      <w:r>
        <w:t xml:space="preserve"> to form </w:t>
      </w:r>
      <w:r>
        <w:rPr>
          <w:b/>
        </w:rPr>
        <w:t>APL</w:t>
      </w:r>
      <w:r w:rsidRPr="000B3CA6">
        <w:t xml:space="preserve"> can proceed </w:t>
      </w:r>
      <w:r>
        <w:t>with a minimal amount of</w:t>
      </w:r>
      <w:r w:rsidRPr="000B3CA6">
        <w:t xml:space="preserve"> unfavorable side reactions (such as elimination of HBr to 3-acetyl acrylic acid)</w:t>
      </w:r>
      <w:r>
        <w:t xml:space="preserve"> by using weak bases such as sodium bicarbonate. We intend to study the polymerization of </w:t>
      </w:r>
      <w:r>
        <w:rPr>
          <w:b/>
        </w:rPr>
        <w:t>APL</w:t>
      </w:r>
      <w:r>
        <w:t xml:space="preserve"> to obtain </w:t>
      </w:r>
      <w:r w:rsidRPr="000B3CA6">
        <w:rPr>
          <w:b/>
        </w:rPr>
        <w:t>PAPL</w:t>
      </w:r>
      <w:r>
        <w:t xml:space="preserve">, a backbone isomer of </w:t>
      </w:r>
      <w:r>
        <w:rPr>
          <w:b/>
        </w:rPr>
        <w:t>PKVL</w:t>
      </w:r>
      <w:r>
        <w:t>. .</w:t>
      </w:r>
    </w:p>
    <w:p w14:paraId="4064890D" w14:textId="77777777" w:rsidR="007215D2" w:rsidRDefault="007215D2" w:rsidP="007215D2">
      <w:pPr>
        <w:jc w:val="both"/>
      </w:pPr>
    </w:p>
    <w:p w14:paraId="6BEA7E87" w14:textId="77777777" w:rsidR="007215D2" w:rsidRPr="000B3CA6" w:rsidRDefault="00761131" w:rsidP="007215D2">
      <w:pPr>
        <w:jc w:val="center"/>
      </w:pPr>
      <w:r>
        <w:rPr>
          <w:noProof/>
        </w:rPr>
        <w:object w:dxaOrig="8565" w:dyaOrig="3331" w14:anchorId="32D41515">
          <v:shape id="_x0000_i1026" type="#_x0000_t75" alt="" style="width:300pt;height:115.8pt;mso-width-percent:0;mso-height-percent:0;mso-width-percent:0;mso-height-percent:0" o:ole="">
            <v:imagedata r:id="rId14" o:title=""/>
          </v:shape>
          <o:OLEObject Type="Embed" ProgID="ChemDraw.Document.6.0" ShapeID="_x0000_i1026" DrawAspect="Content" ObjectID="_1610428358" r:id="rId15"/>
        </w:object>
      </w:r>
    </w:p>
    <w:p w14:paraId="1E04F3D6" w14:textId="77777777" w:rsidR="007215D2" w:rsidRDefault="007215D2" w:rsidP="007215D2">
      <w:pPr>
        <w:jc w:val="both"/>
        <w:rPr>
          <w:b/>
        </w:rPr>
      </w:pPr>
    </w:p>
    <w:p w14:paraId="3F0B16B5" w14:textId="48A266BF" w:rsidR="007215D2" w:rsidRPr="00CC0C77" w:rsidRDefault="007215D2" w:rsidP="007215D2">
      <w:pPr>
        <w:jc w:val="both"/>
      </w:pPr>
      <w:r w:rsidRPr="00CC0C77">
        <w:rPr>
          <w:b/>
        </w:rPr>
        <w:t xml:space="preserve">Figure </w:t>
      </w:r>
      <w:r>
        <w:rPr>
          <w:b/>
        </w:rPr>
        <w:t>6</w:t>
      </w:r>
      <w:r w:rsidRPr="00CC0C77">
        <w:rPr>
          <w:b/>
        </w:rPr>
        <w:t>. a.</w:t>
      </w:r>
      <w:r w:rsidRPr="00CC0C77">
        <w:t xml:space="preserve"> </w:t>
      </w:r>
      <w:r>
        <w:t>Review</w:t>
      </w:r>
      <w:r w:rsidRPr="00CC0C77">
        <w:t xml:space="preserve"> of the levulinic acid (</w:t>
      </w:r>
      <w:r w:rsidRPr="00CC0C77">
        <w:rPr>
          <w:b/>
        </w:rPr>
        <w:t>LA</w:t>
      </w:r>
      <w:r w:rsidRPr="00CC0C77">
        <w:t>) route to the novel monomer 4-ketovalerolactone (</w:t>
      </w:r>
      <w:r w:rsidRPr="00CC0C77">
        <w:rPr>
          <w:b/>
        </w:rPr>
        <w:t>KVL</w:t>
      </w:r>
      <w:r w:rsidRPr="00CC0C77">
        <w:t xml:space="preserve">).  </w:t>
      </w:r>
      <w:r w:rsidRPr="00CC0C77">
        <w:rPr>
          <w:b/>
        </w:rPr>
        <w:t>b.</w:t>
      </w:r>
      <w:r w:rsidRPr="00CC0C77">
        <w:t xml:space="preserve"> </w:t>
      </w:r>
      <w:r>
        <w:t xml:space="preserve">The synthesis of the isomeric, </w:t>
      </w:r>
      <w:r>
        <w:rPr>
          <w:rFonts w:ascii="Symbol" w:hAnsi="Symbol"/>
        </w:rPr>
        <w:t></w:t>
      </w:r>
      <w:r>
        <w:t xml:space="preserve">-lactone </w:t>
      </w:r>
      <w:r>
        <w:rPr>
          <w:b/>
        </w:rPr>
        <w:t>APL</w:t>
      </w:r>
      <w:r>
        <w:t xml:space="preserve"> from levulinic acid via </w:t>
      </w:r>
      <w:r>
        <w:rPr>
          <w:b/>
        </w:rPr>
        <w:t>3-BLA</w:t>
      </w:r>
      <w:r>
        <w:t xml:space="preserve"> and the structure of the anticipated ROTEP polymer </w:t>
      </w:r>
      <w:r w:rsidRPr="00CC0C77">
        <w:rPr>
          <w:b/>
        </w:rPr>
        <w:t>PAPL</w:t>
      </w:r>
      <w:r w:rsidRPr="00CC0C77">
        <w:t>.</w:t>
      </w:r>
    </w:p>
    <w:p w14:paraId="105036E6" w14:textId="77777777" w:rsidR="007215D2" w:rsidRDefault="007215D2" w:rsidP="007215D2">
      <w:pPr>
        <w:jc w:val="both"/>
        <w:rPr>
          <w:sz w:val="22"/>
          <w:szCs w:val="22"/>
        </w:rPr>
      </w:pPr>
    </w:p>
    <w:p w14:paraId="77491FB6" w14:textId="77777777" w:rsidR="00CA13DE" w:rsidRPr="00E67F90" w:rsidRDefault="00CA13DE" w:rsidP="007215D2">
      <w:pPr>
        <w:jc w:val="both"/>
        <w:rPr>
          <w:sz w:val="22"/>
          <w:szCs w:val="22"/>
        </w:rPr>
      </w:pPr>
    </w:p>
    <w:p w14:paraId="4B5282EA" w14:textId="77777777" w:rsidR="00EB21FE" w:rsidRDefault="008926A7" w:rsidP="007215D2">
      <w:pPr>
        <w:jc w:val="both"/>
        <w:rPr>
          <w:sz w:val="22"/>
          <w:szCs w:val="22"/>
        </w:rPr>
      </w:pPr>
      <w:r>
        <w:rPr>
          <w:sz w:val="22"/>
          <w:szCs w:val="22"/>
        </w:rPr>
        <w:t xml:space="preserve">3.) CHALLENGES ENCOUNTERED. </w:t>
      </w:r>
      <w:r w:rsidR="00EB21FE" w:rsidRPr="00E67F90">
        <w:rPr>
          <w:sz w:val="22"/>
          <w:szCs w:val="22"/>
        </w:rPr>
        <w:t>(</w:t>
      </w:r>
      <w:r w:rsidR="00EB21FE" w:rsidRPr="00E67F90">
        <w:rPr>
          <w:i/>
          <w:sz w:val="22"/>
          <w:szCs w:val="22"/>
        </w:rPr>
        <w:t xml:space="preserve">Describe any challenges that you encountered </w:t>
      </w:r>
      <w:r w:rsidR="00EB16B7">
        <w:rPr>
          <w:i/>
          <w:sz w:val="22"/>
          <w:szCs w:val="22"/>
        </w:rPr>
        <w:t>related to project progress specific to goals, objectives, and deliverables identified in the project work</w:t>
      </w:r>
      <w:r w:rsidR="00EB16B7" w:rsidRPr="006C2300">
        <w:rPr>
          <w:i/>
          <w:sz w:val="22"/>
          <w:szCs w:val="22"/>
        </w:rPr>
        <w:t>plan</w:t>
      </w:r>
      <w:r w:rsidR="00EB21FE" w:rsidRPr="00E67F90">
        <w:rPr>
          <w:i/>
          <w:sz w:val="22"/>
          <w:szCs w:val="22"/>
        </w:rPr>
        <w:t>.</w:t>
      </w:r>
      <w:r w:rsidR="00EB21FE" w:rsidRPr="00E67F90">
        <w:rPr>
          <w:sz w:val="22"/>
          <w:szCs w:val="22"/>
        </w:rPr>
        <w:t>)</w:t>
      </w:r>
    </w:p>
    <w:p w14:paraId="37751B8E" w14:textId="77777777" w:rsidR="00EB21FE" w:rsidRDefault="00EB21FE" w:rsidP="007215D2">
      <w:pPr>
        <w:jc w:val="both"/>
        <w:rPr>
          <w:sz w:val="22"/>
          <w:szCs w:val="22"/>
        </w:rPr>
      </w:pPr>
    </w:p>
    <w:p w14:paraId="22AEFA8B" w14:textId="4D7C9FDC" w:rsidR="00EB21FE" w:rsidRPr="007215D2" w:rsidRDefault="00926498" w:rsidP="007215D2">
      <w:pPr>
        <w:jc w:val="both"/>
      </w:pPr>
      <w:r w:rsidRPr="007215D2">
        <w:t>Side reactions have proven to be the biggest difficulty associated with achie</w:t>
      </w:r>
      <w:r w:rsidR="007215D2">
        <w:t xml:space="preserve">ving high molecular weights of </w:t>
      </w:r>
      <w:r w:rsidRPr="007215D2">
        <w:t>polyester</w:t>
      </w:r>
      <w:r w:rsidR="007215D2">
        <w:t xml:space="preserve"> in the Hillmyer/Tonks collaborative project</w:t>
      </w:r>
      <w:r w:rsidRPr="007215D2">
        <w:t xml:space="preserve">. However, with the lessons learned from </w:t>
      </w:r>
      <w:r w:rsidR="0011616A" w:rsidRPr="007215D2">
        <w:t>our</w:t>
      </w:r>
      <w:r w:rsidRPr="007215D2">
        <w:t xml:space="preserve"> work </w:t>
      </w:r>
      <w:r w:rsidR="0011616A" w:rsidRPr="007215D2">
        <w:t xml:space="preserve">thus far, </w:t>
      </w:r>
      <w:r w:rsidRPr="007215D2">
        <w:t xml:space="preserve">we hope that our devised strategies for side reaction mitigation will lead to a significant advancement </w:t>
      </w:r>
      <w:r w:rsidR="0011616A" w:rsidRPr="007215D2">
        <w:t xml:space="preserve">in </w:t>
      </w:r>
      <w:r w:rsidRPr="007215D2">
        <w:t>the applicability of this polymerization method, and specifically towards monomer units derived from corn products.</w:t>
      </w:r>
    </w:p>
    <w:p w14:paraId="2DCE65D0" w14:textId="2676DE8E" w:rsidR="00926498" w:rsidRDefault="00926498" w:rsidP="007215D2">
      <w:pPr>
        <w:jc w:val="both"/>
        <w:rPr>
          <w:sz w:val="22"/>
          <w:szCs w:val="22"/>
        </w:rPr>
      </w:pPr>
    </w:p>
    <w:p w14:paraId="1E5E7560" w14:textId="6851413E" w:rsidR="007215D2" w:rsidRDefault="007215D2" w:rsidP="007215D2">
      <w:pPr>
        <w:jc w:val="both"/>
        <w:rPr>
          <w:sz w:val="22"/>
          <w:szCs w:val="22"/>
        </w:rPr>
      </w:pPr>
      <w:r>
        <w:t xml:space="preserve">The challenges in the Hoye group project remain of how to obtain samples of </w:t>
      </w:r>
      <w:r>
        <w:rPr>
          <w:b/>
        </w:rPr>
        <w:t>APL</w:t>
      </w:r>
      <w:r>
        <w:t xml:space="preserve"> that are sufficiently pure and dry to allow for meaningful and efficient ROTEP studies</w:t>
      </w:r>
    </w:p>
    <w:p w14:paraId="3944C5A1" w14:textId="77777777" w:rsidR="007215D2" w:rsidRDefault="007215D2" w:rsidP="007215D2">
      <w:pPr>
        <w:jc w:val="both"/>
        <w:rPr>
          <w:sz w:val="22"/>
          <w:szCs w:val="22"/>
        </w:rPr>
      </w:pPr>
    </w:p>
    <w:p w14:paraId="6224A2B2" w14:textId="77777777" w:rsidR="00926498" w:rsidRPr="00E67F90" w:rsidRDefault="00926498" w:rsidP="007215D2">
      <w:pPr>
        <w:jc w:val="both"/>
        <w:rPr>
          <w:sz w:val="22"/>
          <w:szCs w:val="22"/>
        </w:rPr>
      </w:pPr>
    </w:p>
    <w:p w14:paraId="3282611B" w14:textId="77777777" w:rsidR="00EB21FE" w:rsidRDefault="00EB21FE" w:rsidP="007215D2">
      <w:pPr>
        <w:jc w:val="both"/>
        <w:rPr>
          <w:sz w:val="22"/>
          <w:szCs w:val="22"/>
        </w:rPr>
      </w:pPr>
      <w:r w:rsidRPr="00E67F90">
        <w:rPr>
          <w:sz w:val="22"/>
          <w:szCs w:val="22"/>
        </w:rPr>
        <w:t>4.) FINANCIAL INFORMATION (</w:t>
      </w:r>
      <w:r>
        <w:rPr>
          <w:i/>
          <w:sz w:val="22"/>
          <w:szCs w:val="22"/>
        </w:rPr>
        <w:t xml:space="preserve">Describe </w:t>
      </w:r>
      <w:r w:rsidR="008926A7">
        <w:rPr>
          <w:i/>
          <w:sz w:val="22"/>
          <w:szCs w:val="22"/>
        </w:rPr>
        <w:t xml:space="preserve">any budget </w:t>
      </w:r>
      <w:r w:rsidR="00EB16B7">
        <w:rPr>
          <w:i/>
          <w:sz w:val="22"/>
          <w:szCs w:val="22"/>
        </w:rPr>
        <w:t>challenges</w:t>
      </w:r>
      <w:r>
        <w:rPr>
          <w:i/>
          <w:sz w:val="22"/>
          <w:szCs w:val="22"/>
        </w:rPr>
        <w:t xml:space="preserve"> and p</w:t>
      </w:r>
      <w:r w:rsidRPr="00E67F90">
        <w:rPr>
          <w:i/>
          <w:sz w:val="22"/>
          <w:szCs w:val="22"/>
        </w:rPr>
        <w:t xml:space="preserve">rovide specific reasons </w:t>
      </w:r>
      <w:r w:rsidR="00EB16B7">
        <w:rPr>
          <w:i/>
          <w:sz w:val="22"/>
          <w:szCs w:val="22"/>
        </w:rPr>
        <w:t>for deviations from the projected project spending</w:t>
      </w:r>
      <w:r w:rsidRPr="00E67F90">
        <w:rPr>
          <w:i/>
          <w:sz w:val="22"/>
          <w:szCs w:val="22"/>
        </w:rPr>
        <w:t>.</w:t>
      </w:r>
      <w:r w:rsidRPr="00E67F90">
        <w:rPr>
          <w:sz w:val="22"/>
          <w:szCs w:val="22"/>
        </w:rPr>
        <w:t>)</w:t>
      </w:r>
    </w:p>
    <w:p w14:paraId="4ED40580" w14:textId="77777777" w:rsidR="00383FF5" w:rsidRDefault="00383FF5" w:rsidP="007215D2">
      <w:pPr>
        <w:jc w:val="both"/>
        <w:rPr>
          <w:sz w:val="22"/>
          <w:szCs w:val="22"/>
        </w:rPr>
      </w:pPr>
    </w:p>
    <w:p w14:paraId="36E3DE49" w14:textId="6E3BEF59" w:rsidR="00383FF5" w:rsidRDefault="00E675E3" w:rsidP="007215D2">
      <w:pPr>
        <w:jc w:val="both"/>
        <w:rPr>
          <w:sz w:val="22"/>
          <w:szCs w:val="22"/>
        </w:rPr>
      </w:pPr>
      <w:r>
        <w:rPr>
          <w:sz w:val="22"/>
          <w:szCs w:val="22"/>
        </w:rPr>
        <w:t>Nothing to report.</w:t>
      </w:r>
    </w:p>
    <w:p w14:paraId="5ED367BE" w14:textId="77777777" w:rsidR="00EB21FE" w:rsidRDefault="00EB21FE" w:rsidP="007215D2">
      <w:pPr>
        <w:jc w:val="both"/>
        <w:rPr>
          <w:sz w:val="22"/>
          <w:szCs w:val="22"/>
        </w:rPr>
      </w:pPr>
    </w:p>
    <w:p w14:paraId="6F3FB9F7" w14:textId="705577BA" w:rsidR="00F16F24" w:rsidRDefault="00F16F24" w:rsidP="007215D2">
      <w:pPr>
        <w:jc w:val="both"/>
        <w:rPr>
          <w:i/>
          <w:sz w:val="22"/>
          <w:szCs w:val="22"/>
        </w:rPr>
      </w:pPr>
      <w:r>
        <w:rPr>
          <w:sz w:val="22"/>
          <w:szCs w:val="22"/>
        </w:rPr>
        <w:t xml:space="preserve">5.) EDUCATION AND OUTREACH ACTIVITES. </w:t>
      </w:r>
      <w:r>
        <w:rPr>
          <w:i/>
          <w:sz w:val="22"/>
          <w:szCs w:val="22"/>
        </w:rPr>
        <w:t>(Describe any conferences, workshops, field days, etc attended, number of contacts at each event, and/or publications developed to disseminate project results.)</w:t>
      </w:r>
    </w:p>
    <w:p w14:paraId="19DF0DBD" w14:textId="1D1EC62E" w:rsidR="00E675E3" w:rsidRDefault="00E675E3" w:rsidP="007215D2">
      <w:pPr>
        <w:jc w:val="both"/>
        <w:rPr>
          <w:i/>
          <w:sz w:val="22"/>
          <w:szCs w:val="22"/>
        </w:rPr>
      </w:pPr>
    </w:p>
    <w:p w14:paraId="40A5A73B" w14:textId="3FE9EC9A" w:rsidR="00E675E3" w:rsidRPr="00E675E3" w:rsidRDefault="00E675E3" w:rsidP="007215D2">
      <w:pPr>
        <w:jc w:val="both"/>
        <w:rPr>
          <w:sz w:val="22"/>
          <w:szCs w:val="22"/>
        </w:rPr>
      </w:pPr>
      <w:r>
        <w:rPr>
          <w:sz w:val="22"/>
          <w:szCs w:val="22"/>
        </w:rPr>
        <w:t xml:space="preserve">Nothing to report. </w:t>
      </w:r>
    </w:p>
    <w:sectPr w:rsidR="00E675E3" w:rsidRPr="00E675E3" w:rsidSect="00EB21F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E3DF5" w14:textId="77777777" w:rsidR="00761131" w:rsidRDefault="00761131" w:rsidP="00EB21FE">
      <w:r>
        <w:separator/>
      </w:r>
    </w:p>
  </w:endnote>
  <w:endnote w:type="continuationSeparator" w:id="0">
    <w:p w14:paraId="27D798DF" w14:textId="77777777" w:rsidR="00761131" w:rsidRDefault="00761131" w:rsidP="00EB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3C90A" w14:textId="77777777" w:rsidR="00761131" w:rsidRDefault="00761131" w:rsidP="00EB21FE">
      <w:r>
        <w:separator/>
      </w:r>
    </w:p>
  </w:footnote>
  <w:footnote w:type="continuationSeparator" w:id="0">
    <w:p w14:paraId="1AEFACC6" w14:textId="77777777" w:rsidR="00761131" w:rsidRDefault="00761131" w:rsidP="00EB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7A23"/>
    <w:multiLevelType w:val="hybridMultilevel"/>
    <w:tmpl w:val="CEFC0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C55B4A"/>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5580F"/>
    <w:multiLevelType w:val="hybridMultilevel"/>
    <w:tmpl w:val="05201B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0A140D"/>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FE4645"/>
    <w:multiLevelType w:val="hybridMultilevel"/>
    <w:tmpl w:val="32F44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AE1CA4"/>
    <w:multiLevelType w:val="hybridMultilevel"/>
    <w:tmpl w:val="BE36C5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A00"/>
    <w:rsid w:val="000052C7"/>
    <w:rsid w:val="00015CD3"/>
    <w:rsid w:val="00073876"/>
    <w:rsid w:val="000863D9"/>
    <w:rsid w:val="000A2E71"/>
    <w:rsid w:val="000E10F1"/>
    <w:rsid w:val="000E2E78"/>
    <w:rsid w:val="0010676F"/>
    <w:rsid w:val="0011616A"/>
    <w:rsid w:val="001230AE"/>
    <w:rsid w:val="00140EBD"/>
    <w:rsid w:val="001422B8"/>
    <w:rsid w:val="00157224"/>
    <w:rsid w:val="001F4757"/>
    <w:rsid w:val="00201A62"/>
    <w:rsid w:val="0025757E"/>
    <w:rsid w:val="002667A6"/>
    <w:rsid w:val="00275A73"/>
    <w:rsid w:val="002812FB"/>
    <w:rsid w:val="00286587"/>
    <w:rsid w:val="00292567"/>
    <w:rsid w:val="003116E9"/>
    <w:rsid w:val="00312ED5"/>
    <w:rsid w:val="00315829"/>
    <w:rsid w:val="00377785"/>
    <w:rsid w:val="00383FF5"/>
    <w:rsid w:val="003B3AD5"/>
    <w:rsid w:val="003B4EB9"/>
    <w:rsid w:val="003D20B7"/>
    <w:rsid w:val="003E3963"/>
    <w:rsid w:val="004013F4"/>
    <w:rsid w:val="00426FB4"/>
    <w:rsid w:val="004B17C5"/>
    <w:rsid w:val="004B4B18"/>
    <w:rsid w:val="004C4C31"/>
    <w:rsid w:val="004C6162"/>
    <w:rsid w:val="004E6A88"/>
    <w:rsid w:val="004F0EB2"/>
    <w:rsid w:val="004F7A42"/>
    <w:rsid w:val="00531991"/>
    <w:rsid w:val="00542FC4"/>
    <w:rsid w:val="005F42EB"/>
    <w:rsid w:val="00627513"/>
    <w:rsid w:val="00630E83"/>
    <w:rsid w:val="0063113F"/>
    <w:rsid w:val="006552F8"/>
    <w:rsid w:val="006D12D1"/>
    <w:rsid w:val="00705B7A"/>
    <w:rsid w:val="00716D83"/>
    <w:rsid w:val="00716E2B"/>
    <w:rsid w:val="007215D2"/>
    <w:rsid w:val="00752D84"/>
    <w:rsid w:val="00760C7B"/>
    <w:rsid w:val="00761131"/>
    <w:rsid w:val="007F52E5"/>
    <w:rsid w:val="007F564D"/>
    <w:rsid w:val="00817DED"/>
    <w:rsid w:val="00822FCE"/>
    <w:rsid w:val="00823E41"/>
    <w:rsid w:val="00842981"/>
    <w:rsid w:val="00877033"/>
    <w:rsid w:val="00887B0E"/>
    <w:rsid w:val="008926A7"/>
    <w:rsid w:val="00894B61"/>
    <w:rsid w:val="008A3432"/>
    <w:rsid w:val="008A5733"/>
    <w:rsid w:val="008B0CB1"/>
    <w:rsid w:val="008F2122"/>
    <w:rsid w:val="00915C69"/>
    <w:rsid w:val="00926498"/>
    <w:rsid w:val="00943171"/>
    <w:rsid w:val="00946716"/>
    <w:rsid w:val="009D399D"/>
    <w:rsid w:val="00AE3992"/>
    <w:rsid w:val="00AF2A00"/>
    <w:rsid w:val="00B51089"/>
    <w:rsid w:val="00B7158C"/>
    <w:rsid w:val="00BD61EB"/>
    <w:rsid w:val="00C06687"/>
    <w:rsid w:val="00C36E89"/>
    <w:rsid w:val="00C57333"/>
    <w:rsid w:val="00C60D13"/>
    <w:rsid w:val="00C94099"/>
    <w:rsid w:val="00CA13DE"/>
    <w:rsid w:val="00CA709B"/>
    <w:rsid w:val="00CA7582"/>
    <w:rsid w:val="00CD2D79"/>
    <w:rsid w:val="00CE6488"/>
    <w:rsid w:val="00CF45E5"/>
    <w:rsid w:val="00D16E53"/>
    <w:rsid w:val="00D243DE"/>
    <w:rsid w:val="00D47D17"/>
    <w:rsid w:val="00D84EDB"/>
    <w:rsid w:val="00D87DFF"/>
    <w:rsid w:val="00DD4E64"/>
    <w:rsid w:val="00E11718"/>
    <w:rsid w:val="00E46DF0"/>
    <w:rsid w:val="00E675E3"/>
    <w:rsid w:val="00EB0462"/>
    <w:rsid w:val="00EB16B7"/>
    <w:rsid w:val="00EB21FE"/>
    <w:rsid w:val="00EE654A"/>
    <w:rsid w:val="00F01FB2"/>
    <w:rsid w:val="00F03CCF"/>
    <w:rsid w:val="00F16F24"/>
    <w:rsid w:val="00F31626"/>
    <w:rsid w:val="00F504E1"/>
    <w:rsid w:val="00F51B01"/>
    <w:rsid w:val="00F64AC3"/>
    <w:rsid w:val="00F7795B"/>
    <w:rsid w:val="00F81676"/>
    <w:rsid w:val="00F823A9"/>
    <w:rsid w:val="00FC3FA4"/>
    <w:rsid w:val="00FD1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7E7CED11"/>
  <w15:chartTrackingRefBased/>
  <w15:docId w15:val="{5D853BD9-FE6C-408C-980E-3D4A10D26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A0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5175E"/>
    <w:pPr>
      <w:tabs>
        <w:tab w:val="center" w:pos="4680"/>
        <w:tab w:val="right" w:pos="9360"/>
      </w:tabs>
    </w:pPr>
  </w:style>
  <w:style w:type="character" w:customStyle="1" w:styleId="HeaderChar">
    <w:name w:val="Header Char"/>
    <w:basedOn w:val="DefaultParagraphFont"/>
    <w:link w:val="Header"/>
    <w:uiPriority w:val="99"/>
    <w:semiHidden/>
    <w:rsid w:val="00C5175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5175E"/>
    <w:pPr>
      <w:tabs>
        <w:tab w:val="center" w:pos="4680"/>
        <w:tab w:val="right" w:pos="9360"/>
      </w:tabs>
    </w:pPr>
  </w:style>
  <w:style w:type="character" w:customStyle="1" w:styleId="FooterChar">
    <w:name w:val="Footer Char"/>
    <w:basedOn w:val="DefaultParagraphFont"/>
    <w:link w:val="Footer"/>
    <w:uiPriority w:val="99"/>
    <w:rsid w:val="00C5175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175E"/>
    <w:rPr>
      <w:rFonts w:ascii="Tahoma" w:hAnsi="Tahoma" w:cs="Tahoma"/>
      <w:sz w:val="16"/>
      <w:szCs w:val="16"/>
    </w:rPr>
  </w:style>
  <w:style w:type="character" w:customStyle="1" w:styleId="BalloonTextChar">
    <w:name w:val="Balloon Text Char"/>
    <w:basedOn w:val="DefaultParagraphFont"/>
    <w:link w:val="BalloonText"/>
    <w:uiPriority w:val="99"/>
    <w:semiHidden/>
    <w:rsid w:val="00C5175E"/>
    <w:rPr>
      <w:rFonts w:ascii="Tahoma" w:eastAsia="Times New Roman" w:hAnsi="Tahoma" w:cs="Tahoma"/>
      <w:sz w:val="16"/>
      <w:szCs w:val="16"/>
    </w:rPr>
  </w:style>
  <w:style w:type="paragraph" w:customStyle="1" w:styleId="ColorfulList-Accent11">
    <w:name w:val="Colorful List - Accent 11"/>
    <w:basedOn w:val="Normal"/>
    <w:uiPriority w:val="34"/>
    <w:qFormat/>
    <w:rsid w:val="0040655A"/>
    <w:pPr>
      <w:ind w:left="720"/>
      <w:contextualSpacing/>
    </w:pPr>
  </w:style>
  <w:style w:type="character" w:styleId="PlaceholderText">
    <w:name w:val="Placeholder Text"/>
    <w:basedOn w:val="DefaultParagraphFont"/>
    <w:uiPriority w:val="99"/>
    <w:unhideWhenUsed/>
    <w:rsid w:val="004B4B18"/>
    <w:rPr>
      <w:color w:val="808080"/>
    </w:rPr>
  </w:style>
  <w:style w:type="table" w:styleId="TableGrid">
    <w:name w:val="Table Grid"/>
    <w:basedOn w:val="TableNormal"/>
    <w:uiPriority w:val="59"/>
    <w:rsid w:val="00EB0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7734</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MN Dept of Agriculture</Company>
  <LinksUpToDate>false</LinksUpToDate>
  <CharactersWithSpaces>9051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rbodine</dc:creator>
  <cp:keywords/>
  <cp:lastModifiedBy>Paul Meints</cp:lastModifiedBy>
  <cp:revision>2</cp:revision>
  <cp:lastPrinted>2019-01-31T14:26:00Z</cp:lastPrinted>
  <dcterms:created xsi:type="dcterms:W3CDTF">2019-01-31T14:26:00Z</dcterms:created>
  <dcterms:modified xsi:type="dcterms:W3CDTF">2019-01-31T14:26:00Z</dcterms:modified>
</cp:coreProperties>
</file>