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B91F59">
        <w:rPr>
          <w:b/>
          <w:smallCaps/>
        </w:rPr>
        <w:t>Final</w:t>
      </w:r>
      <w:r w:rsidR="00EB21FE">
        <w:rPr>
          <w:b/>
          <w:smallCaps/>
        </w:rPr>
        <w:t xml:space="preserve">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D42A5C">
        <w:rPr>
          <w:sz w:val="22"/>
          <w:szCs w:val="22"/>
        </w:rPr>
        <w:t>Economic Benefit of Variable Rate Nitrogen Program</w:t>
      </w:r>
      <w:r w:rsidR="00E56AF0">
        <w:rPr>
          <w:sz w:val="22"/>
          <w:szCs w:val="22"/>
        </w:rPr>
        <w:t>s</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D42A5C">
        <w:rPr>
          <w:sz w:val="22"/>
          <w:szCs w:val="22"/>
        </w:rPr>
        <w:t>Final Report 2019</w:t>
      </w:r>
    </w:p>
    <w:p w:rsidR="00EB21FE" w:rsidRDefault="00876B28" w:rsidP="00EB21FE">
      <w:pPr>
        <w:rPr>
          <w:sz w:val="22"/>
          <w:szCs w:val="22"/>
        </w:rPr>
      </w:pPr>
      <w:r>
        <w:rPr>
          <w:sz w:val="22"/>
          <w:szCs w:val="22"/>
        </w:rPr>
        <w:t>FARMER INNOVATOR</w:t>
      </w:r>
      <w:r w:rsidR="00EB21FE">
        <w:rPr>
          <w:sz w:val="22"/>
          <w:szCs w:val="22"/>
        </w:rPr>
        <w:t xml:space="preserve">: </w:t>
      </w:r>
      <w:r w:rsidR="00D42A5C">
        <w:rPr>
          <w:sz w:val="22"/>
          <w:szCs w:val="22"/>
        </w:rPr>
        <w:t>Sam Peterson</w:t>
      </w:r>
    </w:p>
    <w:p w:rsidR="00EB21FE" w:rsidRDefault="00876B28" w:rsidP="006D12D1">
      <w:pPr>
        <w:rPr>
          <w:sz w:val="22"/>
          <w:szCs w:val="22"/>
        </w:rPr>
      </w:pPr>
      <w:r>
        <w:rPr>
          <w:sz w:val="22"/>
          <w:szCs w:val="22"/>
        </w:rPr>
        <w:t>COLLABORATING ORGANIZATION/PERSON</w:t>
      </w:r>
      <w:r w:rsidR="00EB21FE">
        <w:rPr>
          <w:sz w:val="22"/>
          <w:szCs w:val="22"/>
        </w:rPr>
        <w:t xml:space="preserve">: </w:t>
      </w:r>
      <w:r w:rsidR="00D42A5C">
        <w:rPr>
          <w:sz w:val="22"/>
          <w:szCs w:val="22"/>
        </w:rPr>
        <w:t>Central Advantage GS, Encirca, Winfield Solutions: R7, 3P Farms</w:t>
      </w:r>
    </w:p>
    <w:p w:rsidR="00EB21FE" w:rsidRDefault="00EB21FE" w:rsidP="006D12D1">
      <w:pPr>
        <w:rPr>
          <w:sz w:val="22"/>
          <w:szCs w:val="22"/>
        </w:rPr>
      </w:pPr>
      <w:r>
        <w:rPr>
          <w:sz w:val="22"/>
          <w:szCs w:val="22"/>
        </w:rPr>
        <w:t xml:space="preserve">PHONE NUMBER: </w:t>
      </w:r>
      <w:r w:rsidR="00D42A5C">
        <w:rPr>
          <w:sz w:val="22"/>
          <w:szCs w:val="22"/>
        </w:rPr>
        <w:t>507-649-1582</w:t>
      </w:r>
    </w:p>
    <w:p w:rsidR="00EB21FE" w:rsidRDefault="00EB21FE" w:rsidP="006D12D1">
      <w:pPr>
        <w:rPr>
          <w:sz w:val="22"/>
          <w:szCs w:val="22"/>
        </w:rPr>
      </w:pPr>
      <w:r>
        <w:rPr>
          <w:sz w:val="22"/>
          <w:szCs w:val="22"/>
        </w:rPr>
        <w:t xml:space="preserve">EMAIL: </w:t>
      </w:r>
      <w:r w:rsidR="00D42A5C">
        <w:rPr>
          <w:sz w:val="22"/>
          <w:szCs w:val="22"/>
        </w:rPr>
        <w:t>sam.peterson140@gmail.com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8926A7" w:rsidRDefault="00D42A5C" w:rsidP="00EB21FE">
      <w:pPr>
        <w:rPr>
          <w:sz w:val="22"/>
          <w:szCs w:val="22"/>
        </w:rPr>
      </w:pPr>
      <w:r>
        <w:rPr>
          <w:sz w:val="22"/>
          <w:szCs w:val="22"/>
        </w:rPr>
        <w:t>Specific goals o</w:t>
      </w:r>
      <w:r w:rsidR="00E56AF0">
        <w:rPr>
          <w:sz w:val="22"/>
          <w:szCs w:val="22"/>
        </w:rPr>
        <w:t>f this reporting period were</w:t>
      </w:r>
      <w:r>
        <w:rPr>
          <w:sz w:val="22"/>
          <w:szCs w:val="22"/>
        </w:rPr>
        <w:t xml:space="preserve"> to organize all of the data and observations collected this year and analy</w:t>
      </w:r>
      <w:r w:rsidR="00E56AF0">
        <w:rPr>
          <w:sz w:val="22"/>
          <w:szCs w:val="22"/>
        </w:rPr>
        <w:t>ze it to get usable, significant results</w:t>
      </w:r>
      <w:r>
        <w:rPr>
          <w:sz w:val="22"/>
          <w:szCs w:val="22"/>
        </w:rPr>
        <w:t xml:space="preserve">. This would include the total cost of all treatments including fertilizer costs broken down by treatment and their respective fees for each treatment. Then compare the costs to the yield of each treatment to get a true economic analysis. </w:t>
      </w: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w:t>
      </w:r>
      <w:r w:rsidRPr="00E67F90">
        <w:rPr>
          <w:sz w:val="22"/>
          <w:szCs w:val="22"/>
        </w:rPr>
        <w:t xml:space="preserve"> </w:t>
      </w:r>
      <w:r w:rsidR="00876B28">
        <w:rPr>
          <w:sz w:val="22"/>
          <w:szCs w:val="22"/>
        </w:rPr>
        <w:t>(</w:t>
      </w:r>
      <w:r w:rsidR="00B91F59">
        <w:rPr>
          <w:i/>
          <w:sz w:val="22"/>
          <w:szCs w:val="22"/>
        </w:rPr>
        <w:t>This could include photo documentation of the project at various stages if you haven’t already provided these as well as final relevant images of the project at completion. Any data</w:t>
      </w:r>
      <w:r w:rsidR="003D6663">
        <w:rPr>
          <w:i/>
          <w:sz w:val="22"/>
          <w:szCs w:val="22"/>
        </w:rPr>
        <w:t xml:space="preserve"> analysis (</w:t>
      </w:r>
      <w:r w:rsidR="003D6663" w:rsidRPr="004E74F8">
        <w:rPr>
          <w:i/>
          <w:sz w:val="22"/>
          <w:szCs w:val="22"/>
          <w:u w:val="single"/>
        </w:rPr>
        <w:t>especially Level 3 Grants</w:t>
      </w:r>
      <w:r w:rsidR="003D6663">
        <w:rPr>
          <w:i/>
          <w:sz w:val="22"/>
          <w:szCs w:val="22"/>
        </w:rPr>
        <w:t>)</w:t>
      </w:r>
      <w:r w:rsidR="00B91F59">
        <w:rPr>
          <w:i/>
          <w:sz w:val="22"/>
          <w:szCs w:val="22"/>
        </w:rPr>
        <w:t>, graphics or record of observations throughout the growing season or during the field day event are also anticipated.</w:t>
      </w:r>
      <w:r w:rsidR="00876B28">
        <w:rPr>
          <w:i/>
          <w:sz w:val="22"/>
          <w:szCs w:val="22"/>
        </w:rPr>
        <w:t>)</w:t>
      </w:r>
    </w:p>
    <w:tbl>
      <w:tblPr>
        <w:tblW w:w="8832" w:type="dxa"/>
        <w:tblLook w:val="04A0" w:firstRow="1" w:lastRow="0" w:firstColumn="1" w:lastColumn="0" w:noHBand="0" w:noVBand="1"/>
      </w:tblPr>
      <w:tblGrid>
        <w:gridCol w:w="2200"/>
        <w:gridCol w:w="662"/>
        <w:gridCol w:w="738"/>
        <w:gridCol w:w="999"/>
        <w:gridCol w:w="743"/>
        <w:gridCol w:w="618"/>
        <w:gridCol w:w="865"/>
        <w:gridCol w:w="1340"/>
        <w:gridCol w:w="743"/>
      </w:tblGrid>
      <w:tr w:rsidR="00115952" w:rsidRPr="00D80EF0" w:rsidTr="00115952">
        <w:trPr>
          <w:trHeight w:val="288"/>
        </w:trPr>
        <w:tc>
          <w:tcPr>
            <w:tcW w:w="2200" w:type="dxa"/>
            <w:tcBorders>
              <w:top w:val="nil"/>
              <w:left w:val="nil"/>
              <w:bottom w:val="nil"/>
              <w:right w:val="nil"/>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Flat Rate</w:t>
            </w:r>
          </w:p>
        </w:tc>
        <w:tc>
          <w:tcPr>
            <w:tcW w:w="6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101</w:t>
            </w:r>
          </w:p>
        </w:tc>
        <w:tc>
          <w:tcPr>
            <w:tcW w:w="73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204</w:t>
            </w:r>
          </w:p>
        </w:tc>
        <w:tc>
          <w:tcPr>
            <w:tcW w:w="92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301</w:t>
            </w:r>
          </w:p>
        </w:tc>
        <w:tc>
          <w:tcPr>
            <w:tcW w:w="74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403</w:t>
            </w:r>
          </w:p>
        </w:tc>
        <w:tc>
          <w:tcPr>
            <w:tcW w:w="61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502</w:t>
            </w:r>
          </w:p>
        </w:tc>
        <w:tc>
          <w:tcPr>
            <w:tcW w:w="865"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AVERAGE</w:t>
            </w:r>
          </w:p>
        </w:tc>
        <w:tc>
          <w:tcPr>
            <w:tcW w:w="1340" w:type="dxa"/>
            <w:tcBorders>
              <w:top w:val="nil"/>
              <w:left w:val="nil"/>
              <w:bottom w:val="nil"/>
              <w:right w:val="nil"/>
            </w:tcBorders>
            <w:shd w:val="clear" w:color="000000" w:fill="FFF2CC"/>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Weighted $/#N</w:t>
            </w: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b/>
                <w:bCs/>
                <w:color w:val="000000"/>
                <w:sz w:val="16"/>
                <w:szCs w:val="16"/>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46-0-0 Top Dress</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152.18</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153.28</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148.29</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152.67</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152.62</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46-0-0 $/Ac</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26.25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$ 26.44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25.58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26.34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$ 26.33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Program $/Ac</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26.25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$ 26.44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25.58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26.34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$ 26.33 </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26.19 </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Yield</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186.74</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172.73</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175.24</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156.47</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201.02</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178.44</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173.37</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173.88</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171.58</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173.60</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173.58</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173.20</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$0.3677</w:t>
            </w: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 per bu</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0.9284</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1.0067</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0.9791</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1.1095</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0.8635</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0.9774</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R7</w:t>
            </w:r>
          </w:p>
        </w:tc>
        <w:tc>
          <w:tcPr>
            <w:tcW w:w="662" w:type="dxa"/>
            <w:tcBorders>
              <w:top w:val="single" w:sz="4" w:space="0" w:color="auto"/>
              <w:left w:val="nil"/>
              <w:bottom w:val="nil"/>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102</w:t>
            </w:r>
          </w:p>
        </w:tc>
        <w:tc>
          <w:tcPr>
            <w:tcW w:w="73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202</w:t>
            </w:r>
          </w:p>
        </w:tc>
        <w:tc>
          <w:tcPr>
            <w:tcW w:w="92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304</w:t>
            </w:r>
          </w:p>
        </w:tc>
        <w:tc>
          <w:tcPr>
            <w:tcW w:w="74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404</w:t>
            </w:r>
          </w:p>
        </w:tc>
        <w:tc>
          <w:tcPr>
            <w:tcW w:w="61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503</w:t>
            </w:r>
          </w:p>
        </w:tc>
        <w:tc>
          <w:tcPr>
            <w:tcW w:w="865"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AVERAGE</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b/>
                <w:bCs/>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46-0-0 Top Dress</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130.68</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155</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111.92</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134.91</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129.6</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xml:space="preserve"> 46-0-0 $/Acre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22.54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$ 26.74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19.31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23.27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$ 22.36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Program $/Ac</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5.00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5.00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5.00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5.00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5.00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27.54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$ 31.74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24.31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28.27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$ 27.36 </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xml:space="preserve"> $    27.84 </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lastRenderedPageBreak/>
              <w:t> </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Yield</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184.81</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169.47</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172.01</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142.71</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151.17</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164.03</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163.48</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174.67</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154.85</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165.43</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162.99</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164.28</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$0.3673</w:t>
            </w: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 per bu</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0.8846</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1.0307</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0.9003</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1.1592</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1.0782</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1.0106</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NitrateNow</w:t>
            </w:r>
          </w:p>
        </w:tc>
        <w:tc>
          <w:tcPr>
            <w:tcW w:w="662" w:type="dxa"/>
            <w:tcBorders>
              <w:top w:val="single" w:sz="4" w:space="0" w:color="auto"/>
              <w:left w:val="nil"/>
              <w:bottom w:val="nil"/>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103</w:t>
            </w:r>
          </w:p>
        </w:tc>
        <w:tc>
          <w:tcPr>
            <w:tcW w:w="73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203</w:t>
            </w:r>
          </w:p>
        </w:tc>
        <w:tc>
          <w:tcPr>
            <w:tcW w:w="92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303</w:t>
            </w:r>
          </w:p>
        </w:tc>
        <w:tc>
          <w:tcPr>
            <w:tcW w:w="74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401</w:t>
            </w:r>
          </w:p>
        </w:tc>
        <w:tc>
          <w:tcPr>
            <w:tcW w:w="61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504</w:t>
            </w:r>
          </w:p>
        </w:tc>
        <w:tc>
          <w:tcPr>
            <w:tcW w:w="865"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AVERAGE</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b/>
                <w:bCs/>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46-0-0 Top Dress</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173.48</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170.59</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140.57</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148.17</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109.32</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xml:space="preserve"> 46-0-0 $/Acre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29.93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$ 29.43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24.25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25.56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$ 18.86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Program $/Ac</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7.00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7.00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7.00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7.00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7.00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36.93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$ 36.43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31.25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32.56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$ 25.86 </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xml:space="preserve"> $    32.60 </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Yield</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184.45</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175.19</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178.47</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186.52</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173.50</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179.63</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312"/>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183.17</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181.84</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168.03</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171.53</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153.66</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171.65</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$0.3677</w:t>
            </w: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r>
      <w:tr w:rsidR="00D80EF0" w:rsidRPr="00D80EF0" w:rsidTr="00115952">
        <w:trPr>
          <w:trHeight w:val="312"/>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 per bu</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0.9931</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1.0380</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0.9415</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0.9196</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0.8856</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0.9556</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Encirca</w:t>
            </w:r>
          </w:p>
        </w:tc>
        <w:tc>
          <w:tcPr>
            <w:tcW w:w="662" w:type="dxa"/>
            <w:tcBorders>
              <w:top w:val="single" w:sz="4" w:space="0" w:color="auto"/>
              <w:left w:val="nil"/>
              <w:bottom w:val="nil"/>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104</w:t>
            </w:r>
          </w:p>
        </w:tc>
        <w:tc>
          <w:tcPr>
            <w:tcW w:w="73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201</w:t>
            </w:r>
          </w:p>
        </w:tc>
        <w:tc>
          <w:tcPr>
            <w:tcW w:w="92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302</w:t>
            </w:r>
          </w:p>
        </w:tc>
        <w:tc>
          <w:tcPr>
            <w:tcW w:w="743"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402</w:t>
            </w:r>
          </w:p>
        </w:tc>
        <w:tc>
          <w:tcPr>
            <w:tcW w:w="618"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501</w:t>
            </w:r>
          </w:p>
        </w:tc>
        <w:tc>
          <w:tcPr>
            <w:tcW w:w="865" w:type="dxa"/>
            <w:tcBorders>
              <w:top w:val="single" w:sz="4" w:space="0" w:color="auto"/>
              <w:left w:val="nil"/>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AVERAGE</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b/>
                <w:bCs/>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46-0-0 Top Dress</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298.69</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320.49</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317.77</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322.22</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290.16</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 xml:space="preserve"> 46-0-0 $/Acre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51.52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$ 55.28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54.82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55.58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$ 50.05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Program $/Ac</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10.00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$ 10.00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10.00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10.00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 xml:space="preserve"> $ 10.00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$/Acre</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61.52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$ 65.28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64.82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65.58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xml:space="preserve"> $ 60.05 </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rPr>
                <w:rFonts w:ascii="Arial Narrow" w:hAnsi="Arial Narrow" w:cs="Calibri"/>
                <w:color w:val="000000"/>
                <w:sz w:val="16"/>
                <w:szCs w:val="16"/>
              </w:rPr>
            </w:pPr>
            <w:r w:rsidRPr="00D80EF0">
              <w:rPr>
                <w:rFonts w:ascii="Arial Narrow" w:hAnsi="Arial Narrow" w:cs="Calibri"/>
                <w:color w:val="000000"/>
                <w:sz w:val="16"/>
                <w:szCs w:val="16"/>
              </w:rPr>
              <w:t xml:space="preserve"> $    63.45 </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Yield</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228.64</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219.61</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210.79</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230.94</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219.00</w:t>
            </w:r>
          </w:p>
        </w:tc>
        <w:tc>
          <w:tcPr>
            <w:tcW w:w="865" w:type="dxa"/>
            <w:tcBorders>
              <w:top w:val="single" w:sz="4" w:space="0" w:color="auto"/>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221.80</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240.77</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250.80</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249.54</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251.59</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236.84</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245.91</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$0.3699</w:t>
            </w: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D9D9D9"/>
            <w:noWrap/>
            <w:vAlign w:val="bottom"/>
            <w:hideMark/>
          </w:tcPr>
          <w:p w:rsidR="00D80EF0" w:rsidRPr="00D80EF0" w:rsidRDefault="00D80EF0" w:rsidP="00D80EF0">
            <w:pPr>
              <w:jc w:val="center"/>
              <w:rPr>
                <w:rFonts w:ascii="Arial Narrow" w:hAnsi="Arial Narrow" w:cs="Calibri"/>
                <w:b/>
                <w:bCs/>
                <w:color w:val="000000"/>
                <w:sz w:val="16"/>
                <w:szCs w:val="16"/>
              </w:rPr>
            </w:pPr>
            <w:r w:rsidRPr="00D80EF0">
              <w:rPr>
                <w:rFonts w:ascii="Arial Narrow" w:hAnsi="Arial Narrow" w:cs="Calibri"/>
                <w:b/>
                <w:bCs/>
                <w:color w:val="000000"/>
                <w:sz w:val="16"/>
                <w:szCs w:val="16"/>
              </w:rPr>
              <w:t>Total # of N per bu</w:t>
            </w:r>
          </w:p>
        </w:tc>
        <w:tc>
          <w:tcPr>
            <w:tcW w:w="662"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1.0530</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1.1420</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1.1839</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1.0894</w:t>
            </w:r>
          </w:p>
        </w:tc>
        <w:tc>
          <w:tcPr>
            <w:tcW w:w="61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Arial Narrow" w:hAnsi="Arial Narrow" w:cs="Calibri"/>
                <w:color w:val="000000"/>
                <w:sz w:val="16"/>
                <w:szCs w:val="16"/>
              </w:rPr>
            </w:pPr>
            <w:r w:rsidRPr="00D80EF0">
              <w:rPr>
                <w:rFonts w:ascii="Arial Narrow" w:hAnsi="Arial Narrow" w:cs="Calibri"/>
                <w:color w:val="000000"/>
                <w:sz w:val="16"/>
                <w:szCs w:val="16"/>
              </w:rPr>
              <w:t>1.0815</w:t>
            </w:r>
          </w:p>
        </w:tc>
        <w:tc>
          <w:tcPr>
            <w:tcW w:w="865" w:type="dxa"/>
            <w:tcBorders>
              <w:top w:val="nil"/>
              <w:left w:val="nil"/>
              <w:bottom w:val="single" w:sz="4" w:space="0" w:color="auto"/>
              <w:right w:val="single" w:sz="4" w:space="0" w:color="auto"/>
            </w:tcBorders>
            <w:shd w:val="clear" w:color="000000" w:fill="C6E0B4"/>
            <w:noWrap/>
            <w:vAlign w:val="bottom"/>
            <w:hideMark/>
          </w:tcPr>
          <w:p w:rsidR="00D80EF0" w:rsidRPr="00D80EF0" w:rsidRDefault="00D80EF0" w:rsidP="00D80EF0">
            <w:pPr>
              <w:jc w:val="right"/>
              <w:rPr>
                <w:rFonts w:ascii="Arial Narrow" w:hAnsi="Arial Narrow" w:cs="Calibri"/>
                <w:color w:val="000000"/>
                <w:sz w:val="16"/>
                <w:szCs w:val="16"/>
              </w:rPr>
            </w:pPr>
            <w:r w:rsidRPr="00D80EF0">
              <w:rPr>
                <w:rFonts w:ascii="Arial Narrow" w:hAnsi="Arial Narrow" w:cs="Calibri"/>
                <w:color w:val="000000"/>
                <w:sz w:val="16"/>
                <w:szCs w:val="16"/>
              </w:rPr>
              <w:t>1.1100</w:t>
            </w: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Arial Narrow" w:hAnsi="Arial Narrow" w:cs="Calibri"/>
                <w:color w:val="000000"/>
                <w:sz w:val="16"/>
                <w:szCs w:val="16"/>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300"/>
        </w:trPr>
        <w:tc>
          <w:tcPr>
            <w:tcW w:w="220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Summary</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single" w:sz="4" w:space="0" w:color="auto"/>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 </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46-0-0 $/# Product</w:t>
            </w:r>
          </w:p>
        </w:tc>
        <w:tc>
          <w:tcPr>
            <w:tcW w:w="743" w:type="dxa"/>
            <w:tcBorders>
              <w:top w:val="single" w:sz="8" w:space="0" w:color="auto"/>
              <w:left w:val="nil"/>
              <w:bottom w:val="single" w:sz="4" w:space="0" w:color="auto"/>
              <w:right w:val="single" w:sz="8" w:space="0" w:color="auto"/>
            </w:tcBorders>
            <w:shd w:val="clear" w:color="000000" w:fill="FFF2CC"/>
            <w:noWrap/>
            <w:vAlign w:val="bottom"/>
            <w:hideMark/>
          </w:tcPr>
          <w:p w:rsidR="00D80EF0" w:rsidRPr="00D80EF0" w:rsidRDefault="00D80EF0" w:rsidP="00D80EF0">
            <w:pPr>
              <w:jc w:val="right"/>
              <w:rPr>
                <w:rFonts w:ascii="Calibri" w:hAnsi="Calibri" w:cs="Calibri"/>
                <w:color w:val="000000"/>
                <w:sz w:val="16"/>
                <w:szCs w:val="16"/>
              </w:rPr>
            </w:pPr>
            <w:r w:rsidRPr="00D80EF0">
              <w:rPr>
                <w:rFonts w:ascii="Calibri" w:hAnsi="Calibri" w:cs="Calibri"/>
                <w:color w:val="000000"/>
                <w:sz w:val="16"/>
                <w:szCs w:val="16"/>
              </w:rPr>
              <w:t>$0.1725</w:t>
            </w: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Calibri" w:hAnsi="Calibri" w:cs="Calibri"/>
                <w:color w:val="000000"/>
                <w:sz w:val="16"/>
                <w:szCs w:val="16"/>
              </w:rPr>
            </w:pPr>
          </w:p>
        </w:tc>
        <w:tc>
          <w:tcPr>
            <w:tcW w:w="66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Flat Rate</w:t>
            </w:r>
          </w:p>
        </w:tc>
        <w:tc>
          <w:tcPr>
            <w:tcW w:w="738" w:type="dxa"/>
            <w:tcBorders>
              <w:top w:val="single" w:sz="4" w:space="0" w:color="auto"/>
              <w:left w:val="nil"/>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R7</w:t>
            </w:r>
          </w:p>
        </w:tc>
        <w:tc>
          <w:tcPr>
            <w:tcW w:w="923" w:type="dxa"/>
            <w:tcBorders>
              <w:top w:val="single" w:sz="4" w:space="0" w:color="auto"/>
              <w:left w:val="nil"/>
              <w:bottom w:val="single" w:sz="4" w:space="0" w:color="auto"/>
              <w:right w:val="single" w:sz="4" w:space="0" w:color="auto"/>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NitrateNow</w:t>
            </w:r>
          </w:p>
        </w:tc>
        <w:tc>
          <w:tcPr>
            <w:tcW w:w="743" w:type="dxa"/>
            <w:tcBorders>
              <w:top w:val="nil"/>
              <w:left w:val="nil"/>
              <w:bottom w:val="single" w:sz="4" w:space="0" w:color="auto"/>
              <w:right w:val="nil"/>
            </w:tcBorders>
            <w:shd w:val="clear" w:color="000000" w:fill="BDD7EE"/>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Encirca</w:t>
            </w:r>
          </w:p>
        </w:tc>
        <w:tc>
          <w:tcPr>
            <w:tcW w:w="618" w:type="dxa"/>
            <w:tcBorders>
              <w:top w:val="nil"/>
              <w:left w:val="single" w:sz="4" w:space="0" w:color="auto"/>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1340" w:type="dxa"/>
            <w:tcBorders>
              <w:top w:val="nil"/>
              <w:left w:val="single" w:sz="8"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w:t>
            </w:r>
          </w:p>
        </w:tc>
        <w:tc>
          <w:tcPr>
            <w:tcW w:w="743" w:type="dxa"/>
            <w:tcBorders>
              <w:top w:val="nil"/>
              <w:left w:val="nil"/>
              <w:bottom w:val="single" w:sz="4" w:space="0" w:color="auto"/>
              <w:right w:val="single" w:sz="8" w:space="0" w:color="auto"/>
            </w:tcBorders>
            <w:shd w:val="clear" w:color="000000" w:fill="FFF2CC"/>
            <w:noWrap/>
            <w:vAlign w:val="bottom"/>
            <w:hideMark/>
          </w:tcPr>
          <w:p w:rsidR="00D80EF0" w:rsidRPr="00D80EF0" w:rsidRDefault="00D80EF0" w:rsidP="00D80EF0">
            <w:pPr>
              <w:jc w:val="right"/>
              <w:rPr>
                <w:rFonts w:ascii="Calibri" w:hAnsi="Calibri" w:cs="Calibri"/>
                <w:color w:val="000000"/>
                <w:sz w:val="16"/>
                <w:szCs w:val="16"/>
              </w:rPr>
            </w:pPr>
            <w:r w:rsidRPr="00D80EF0">
              <w:rPr>
                <w:rFonts w:ascii="Calibri" w:hAnsi="Calibri" w:cs="Calibri"/>
                <w:color w:val="000000"/>
                <w:sz w:val="16"/>
                <w:szCs w:val="16"/>
              </w:rPr>
              <w:t>$0.3750</w:t>
            </w:r>
          </w:p>
        </w:tc>
      </w:tr>
      <w:tr w:rsidR="00D80EF0" w:rsidRPr="00D80EF0" w:rsidTr="00115952">
        <w:trPr>
          <w:trHeight w:val="288"/>
        </w:trPr>
        <w:tc>
          <w:tcPr>
            <w:tcW w:w="2200" w:type="dxa"/>
            <w:tcBorders>
              <w:top w:val="single" w:sz="4" w:space="0" w:color="auto"/>
              <w:left w:val="single" w:sz="4" w:space="0" w:color="auto"/>
              <w:bottom w:val="single" w:sz="4" w:space="0" w:color="auto"/>
              <w:right w:val="nil"/>
            </w:tcBorders>
            <w:shd w:val="clear" w:color="000000" w:fill="BFBFBF"/>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Average Top Dress $/Ac</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$26.19</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$27.84</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$32.60</w:t>
            </w:r>
          </w:p>
        </w:tc>
        <w:tc>
          <w:tcPr>
            <w:tcW w:w="743" w:type="dxa"/>
            <w:tcBorders>
              <w:top w:val="nil"/>
              <w:left w:val="nil"/>
              <w:bottom w:val="single" w:sz="4" w:space="0" w:color="auto"/>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$63.45</w:t>
            </w:r>
          </w:p>
        </w:tc>
        <w:tc>
          <w:tcPr>
            <w:tcW w:w="618" w:type="dxa"/>
            <w:tcBorders>
              <w:top w:val="nil"/>
              <w:left w:val="single" w:sz="4" w:space="0" w:color="auto"/>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1340" w:type="dxa"/>
            <w:tcBorders>
              <w:top w:val="nil"/>
              <w:left w:val="single" w:sz="8"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NH</w:t>
            </w:r>
            <w:r w:rsidRPr="00D80EF0">
              <w:rPr>
                <w:rFonts w:ascii="Calibri" w:hAnsi="Calibri" w:cs="Calibri"/>
                <w:b/>
                <w:bCs/>
                <w:color w:val="000000"/>
                <w:sz w:val="16"/>
                <w:szCs w:val="16"/>
                <w:vertAlign w:val="subscript"/>
              </w:rPr>
              <w:t>3</w:t>
            </w:r>
            <w:r w:rsidRPr="00D80EF0">
              <w:rPr>
                <w:rFonts w:ascii="Calibri" w:hAnsi="Calibri" w:cs="Calibri"/>
                <w:b/>
                <w:bCs/>
                <w:color w:val="000000"/>
                <w:sz w:val="16"/>
                <w:szCs w:val="16"/>
              </w:rPr>
              <w:t xml:space="preserve"> $/# Product</w:t>
            </w:r>
          </w:p>
        </w:tc>
        <w:tc>
          <w:tcPr>
            <w:tcW w:w="743" w:type="dxa"/>
            <w:tcBorders>
              <w:top w:val="nil"/>
              <w:left w:val="nil"/>
              <w:bottom w:val="single" w:sz="4" w:space="0" w:color="auto"/>
              <w:right w:val="single" w:sz="8" w:space="0" w:color="auto"/>
            </w:tcBorders>
            <w:shd w:val="clear" w:color="000000" w:fill="FFF2CC"/>
            <w:noWrap/>
            <w:vAlign w:val="bottom"/>
            <w:hideMark/>
          </w:tcPr>
          <w:p w:rsidR="00D80EF0" w:rsidRPr="00D80EF0" w:rsidRDefault="00D80EF0" w:rsidP="00D80EF0">
            <w:pPr>
              <w:jc w:val="right"/>
              <w:rPr>
                <w:rFonts w:ascii="Calibri" w:hAnsi="Calibri" w:cs="Calibri"/>
                <w:color w:val="000000"/>
                <w:sz w:val="16"/>
                <w:szCs w:val="16"/>
              </w:rPr>
            </w:pPr>
            <w:r w:rsidRPr="00D80EF0">
              <w:rPr>
                <w:rFonts w:ascii="Calibri" w:hAnsi="Calibri" w:cs="Calibri"/>
                <w:color w:val="000000"/>
                <w:sz w:val="16"/>
                <w:szCs w:val="16"/>
              </w:rPr>
              <w:t>$0.2975</w:t>
            </w:r>
          </w:p>
        </w:tc>
      </w:tr>
      <w:tr w:rsidR="00D80EF0" w:rsidRPr="00D80EF0" w:rsidTr="00115952">
        <w:trPr>
          <w:trHeight w:val="288"/>
        </w:trPr>
        <w:tc>
          <w:tcPr>
            <w:tcW w:w="2200" w:type="dxa"/>
            <w:tcBorders>
              <w:top w:val="nil"/>
              <w:left w:val="single" w:sz="4" w:space="0" w:color="auto"/>
              <w:bottom w:val="single" w:sz="4" w:space="0" w:color="auto"/>
              <w:right w:val="nil"/>
            </w:tcBorders>
            <w:shd w:val="clear" w:color="000000" w:fill="BFBFBF"/>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Average Yield bu/Ac</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highlight w:val="yellow"/>
              </w:rPr>
            </w:pPr>
            <w:r w:rsidRPr="00D80EF0">
              <w:rPr>
                <w:rFonts w:ascii="Calibri" w:hAnsi="Calibri" w:cs="Calibri"/>
                <w:color w:val="000000"/>
                <w:sz w:val="16"/>
                <w:szCs w:val="16"/>
                <w:highlight w:val="yellow"/>
              </w:rPr>
              <w:t>178.44</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highlight w:val="yellow"/>
              </w:rPr>
            </w:pPr>
            <w:r w:rsidRPr="00D80EF0">
              <w:rPr>
                <w:rFonts w:ascii="Calibri" w:hAnsi="Calibri" w:cs="Calibri"/>
                <w:color w:val="000000"/>
                <w:sz w:val="16"/>
                <w:szCs w:val="16"/>
                <w:highlight w:val="yellow"/>
              </w:rPr>
              <w:t>164.03</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highlight w:val="yellow"/>
              </w:rPr>
            </w:pPr>
            <w:r w:rsidRPr="00D80EF0">
              <w:rPr>
                <w:rFonts w:ascii="Calibri" w:hAnsi="Calibri" w:cs="Calibri"/>
                <w:color w:val="000000"/>
                <w:sz w:val="16"/>
                <w:szCs w:val="16"/>
                <w:highlight w:val="yellow"/>
              </w:rPr>
              <w:t>179.63</w:t>
            </w:r>
          </w:p>
        </w:tc>
        <w:tc>
          <w:tcPr>
            <w:tcW w:w="743" w:type="dxa"/>
            <w:tcBorders>
              <w:top w:val="nil"/>
              <w:left w:val="nil"/>
              <w:bottom w:val="single" w:sz="4" w:space="0" w:color="auto"/>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highlight w:val="yellow"/>
              </w:rPr>
            </w:pPr>
            <w:r w:rsidRPr="00D80EF0">
              <w:rPr>
                <w:rFonts w:ascii="Calibri" w:hAnsi="Calibri" w:cs="Calibri"/>
                <w:color w:val="000000"/>
                <w:sz w:val="16"/>
                <w:szCs w:val="16"/>
                <w:highlight w:val="yellow"/>
              </w:rPr>
              <w:t xml:space="preserve">221.80 </w:t>
            </w:r>
          </w:p>
        </w:tc>
        <w:tc>
          <w:tcPr>
            <w:tcW w:w="618" w:type="dxa"/>
            <w:tcBorders>
              <w:top w:val="nil"/>
              <w:left w:val="single" w:sz="4" w:space="0" w:color="auto"/>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1340" w:type="dxa"/>
            <w:tcBorders>
              <w:top w:val="nil"/>
              <w:left w:val="single" w:sz="8"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w:t>
            </w:r>
          </w:p>
        </w:tc>
        <w:tc>
          <w:tcPr>
            <w:tcW w:w="743" w:type="dxa"/>
            <w:tcBorders>
              <w:top w:val="nil"/>
              <w:left w:val="nil"/>
              <w:bottom w:val="single" w:sz="4" w:space="0" w:color="auto"/>
              <w:right w:val="single" w:sz="8" w:space="0" w:color="auto"/>
            </w:tcBorders>
            <w:shd w:val="clear" w:color="000000" w:fill="FFF2CC"/>
            <w:noWrap/>
            <w:vAlign w:val="bottom"/>
            <w:hideMark/>
          </w:tcPr>
          <w:p w:rsidR="00D80EF0" w:rsidRPr="00D80EF0" w:rsidRDefault="00D80EF0" w:rsidP="00D80EF0">
            <w:pPr>
              <w:jc w:val="right"/>
              <w:rPr>
                <w:rFonts w:ascii="Calibri" w:hAnsi="Calibri" w:cs="Calibri"/>
                <w:color w:val="000000"/>
                <w:sz w:val="16"/>
                <w:szCs w:val="16"/>
              </w:rPr>
            </w:pPr>
            <w:r w:rsidRPr="00D80EF0">
              <w:rPr>
                <w:rFonts w:ascii="Calibri" w:hAnsi="Calibri" w:cs="Calibri"/>
                <w:color w:val="000000"/>
                <w:sz w:val="16"/>
                <w:szCs w:val="16"/>
              </w:rPr>
              <w:t>$0.3628</w:t>
            </w:r>
          </w:p>
        </w:tc>
      </w:tr>
      <w:tr w:rsidR="00D80EF0" w:rsidRPr="00D80EF0" w:rsidTr="00115952">
        <w:trPr>
          <w:trHeight w:val="300"/>
        </w:trPr>
        <w:tc>
          <w:tcPr>
            <w:tcW w:w="2200" w:type="dxa"/>
            <w:tcBorders>
              <w:top w:val="nil"/>
              <w:left w:val="single" w:sz="4" w:space="0" w:color="auto"/>
              <w:bottom w:val="single" w:sz="4" w:space="0" w:color="auto"/>
              <w:right w:val="nil"/>
            </w:tcBorders>
            <w:shd w:val="clear" w:color="000000" w:fill="BFBFBF"/>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Average Total #N/bu</w:t>
            </w:r>
          </w:p>
        </w:tc>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0.9774</w:t>
            </w:r>
          </w:p>
        </w:tc>
        <w:tc>
          <w:tcPr>
            <w:tcW w:w="738"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1.0106</w:t>
            </w:r>
          </w:p>
        </w:tc>
        <w:tc>
          <w:tcPr>
            <w:tcW w:w="92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0.9556</w:t>
            </w:r>
          </w:p>
        </w:tc>
        <w:tc>
          <w:tcPr>
            <w:tcW w:w="743" w:type="dxa"/>
            <w:tcBorders>
              <w:top w:val="nil"/>
              <w:left w:val="nil"/>
              <w:bottom w:val="single" w:sz="4" w:space="0" w:color="auto"/>
              <w:right w:val="single" w:sz="4" w:space="0" w:color="auto"/>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1.1100</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1340" w:type="dxa"/>
            <w:tcBorders>
              <w:top w:val="nil"/>
              <w:left w:val="single" w:sz="8" w:space="0" w:color="auto"/>
              <w:bottom w:val="single" w:sz="8"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Corn Price</w:t>
            </w:r>
          </w:p>
        </w:tc>
        <w:tc>
          <w:tcPr>
            <w:tcW w:w="743" w:type="dxa"/>
            <w:tcBorders>
              <w:top w:val="nil"/>
              <w:left w:val="nil"/>
              <w:bottom w:val="single" w:sz="8" w:space="0" w:color="auto"/>
              <w:right w:val="single" w:sz="8" w:space="0" w:color="auto"/>
            </w:tcBorders>
            <w:shd w:val="clear" w:color="000000" w:fill="E2EFDA"/>
            <w:noWrap/>
            <w:vAlign w:val="bottom"/>
            <w:hideMark/>
          </w:tcPr>
          <w:p w:rsidR="00D80EF0" w:rsidRPr="00D80EF0" w:rsidRDefault="00115952" w:rsidP="00D80EF0">
            <w:pPr>
              <w:jc w:val="right"/>
              <w:rPr>
                <w:rFonts w:ascii="Calibri" w:hAnsi="Calibri" w:cs="Calibri"/>
                <w:color w:val="000000"/>
                <w:sz w:val="16"/>
                <w:szCs w:val="16"/>
              </w:rPr>
            </w:pPr>
            <w:r>
              <w:rPr>
                <w:rFonts w:ascii="Calibri" w:hAnsi="Calibri" w:cs="Calibri"/>
                <w:color w:val="000000"/>
                <w:sz w:val="16"/>
                <w:szCs w:val="16"/>
              </w:rPr>
              <w:t>$3.90</w:t>
            </w:r>
            <w:r w:rsidR="00D80EF0" w:rsidRPr="00D80EF0">
              <w:rPr>
                <w:rFonts w:ascii="Calibri" w:hAnsi="Calibri" w:cs="Calibri"/>
                <w:color w:val="000000"/>
                <w:sz w:val="16"/>
                <w:szCs w:val="16"/>
              </w:rPr>
              <w:t>00</w:t>
            </w:r>
          </w:p>
        </w:tc>
      </w:tr>
      <w:tr w:rsidR="00D80EF0" w:rsidRPr="00D80EF0" w:rsidTr="00115952">
        <w:trPr>
          <w:trHeight w:val="300"/>
        </w:trPr>
        <w:tc>
          <w:tcPr>
            <w:tcW w:w="2200" w:type="dxa"/>
            <w:tcBorders>
              <w:top w:val="nil"/>
              <w:left w:val="nil"/>
              <w:bottom w:val="nil"/>
              <w:right w:val="nil"/>
            </w:tcBorders>
            <w:shd w:val="clear" w:color="auto" w:fill="auto"/>
            <w:noWrap/>
            <w:vAlign w:val="bottom"/>
            <w:hideMark/>
          </w:tcPr>
          <w:p w:rsidR="00D80EF0" w:rsidRPr="00D80EF0" w:rsidRDefault="00D80EF0" w:rsidP="00D80EF0">
            <w:pPr>
              <w:jc w:val="right"/>
              <w:rPr>
                <w:rFonts w:ascii="Calibri" w:hAnsi="Calibri" w:cs="Calibri"/>
                <w:color w:val="000000"/>
                <w:sz w:val="16"/>
                <w:szCs w:val="16"/>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 bu/Ac vs Flat Rate</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-14.41</w:t>
            </w:r>
          </w:p>
        </w:tc>
        <w:tc>
          <w:tcPr>
            <w:tcW w:w="923" w:type="dxa"/>
            <w:tcBorders>
              <w:top w:val="single" w:sz="4" w:space="0" w:color="auto"/>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1.19</w:t>
            </w:r>
          </w:p>
        </w:tc>
        <w:tc>
          <w:tcPr>
            <w:tcW w:w="743" w:type="dxa"/>
            <w:tcBorders>
              <w:top w:val="single" w:sz="4" w:space="0" w:color="auto"/>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43.36</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 $/Ac vs Flat Rate</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nil"/>
              <w:left w:val="single" w:sz="4" w:space="0" w:color="auto"/>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$1.66</w:t>
            </w:r>
          </w:p>
        </w:tc>
        <w:tc>
          <w:tcPr>
            <w:tcW w:w="92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$6.42</w:t>
            </w:r>
          </w:p>
        </w:tc>
        <w:tc>
          <w:tcPr>
            <w:tcW w:w="74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$37.27</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 #'s N/bu Flat Rate</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nil"/>
              <w:left w:val="single" w:sz="4" w:space="0" w:color="auto"/>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FF0000"/>
                <w:sz w:val="16"/>
                <w:szCs w:val="16"/>
              </w:rPr>
            </w:pPr>
            <w:r w:rsidRPr="00D80EF0">
              <w:rPr>
                <w:rFonts w:ascii="Calibri" w:hAnsi="Calibri" w:cs="Calibri"/>
                <w:color w:val="FF0000"/>
                <w:sz w:val="16"/>
                <w:szCs w:val="16"/>
              </w:rPr>
              <w:t>0.03</w:t>
            </w:r>
          </w:p>
        </w:tc>
        <w:tc>
          <w:tcPr>
            <w:tcW w:w="92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-0.02</w:t>
            </w:r>
          </w:p>
        </w:tc>
        <w:tc>
          <w:tcPr>
            <w:tcW w:w="74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FF0000"/>
                <w:sz w:val="16"/>
                <w:szCs w:val="16"/>
              </w:rPr>
            </w:pPr>
            <w:r w:rsidRPr="00D80EF0">
              <w:rPr>
                <w:rFonts w:ascii="Calibri" w:hAnsi="Calibri" w:cs="Calibri"/>
                <w:color w:val="FF0000"/>
                <w:sz w:val="16"/>
                <w:szCs w:val="16"/>
              </w:rPr>
              <w:t>0.13</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FF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3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92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Gross $/Ac Difference</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-$56.18</w:t>
            </w:r>
          </w:p>
        </w:tc>
        <w:tc>
          <w:tcPr>
            <w:tcW w:w="923" w:type="dxa"/>
            <w:tcBorders>
              <w:top w:val="single" w:sz="4" w:space="0" w:color="auto"/>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$4.63</w:t>
            </w:r>
          </w:p>
        </w:tc>
        <w:tc>
          <w:tcPr>
            <w:tcW w:w="743" w:type="dxa"/>
            <w:tcBorders>
              <w:top w:val="single" w:sz="4" w:space="0" w:color="auto"/>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000000"/>
                <w:sz w:val="16"/>
                <w:szCs w:val="16"/>
              </w:rPr>
              <w:t>$169.09</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r w:rsidR="00D80EF0" w:rsidRPr="00D80EF0" w:rsidTr="00115952">
        <w:trPr>
          <w:trHeight w:val="288"/>
        </w:trPr>
        <w:tc>
          <w:tcPr>
            <w:tcW w:w="2200" w:type="dxa"/>
            <w:tcBorders>
              <w:top w:val="nil"/>
              <w:left w:val="single" w:sz="4" w:space="0" w:color="auto"/>
              <w:bottom w:val="single" w:sz="4" w:space="0" w:color="auto"/>
              <w:right w:val="single" w:sz="4" w:space="0" w:color="auto"/>
            </w:tcBorders>
            <w:shd w:val="clear" w:color="000000" w:fill="E2EFDA"/>
            <w:noWrap/>
            <w:vAlign w:val="bottom"/>
            <w:hideMark/>
          </w:tcPr>
          <w:p w:rsidR="00D80EF0" w:rsidRPr="00D80EF0" w:rsidRDefault="00D80EF0" w:rsidP="00D80EF0">
            <w:pPr>
              <w:jc w:val="center"/>
              <w:rPr>
                <w:rFonts w:ascii="Calibri" w:hAnsi="Calibri" w:cs="Calibri"/>
                <w:b/>
                <w:bCs/>
                <w:color w:val="000000"/>
                <w:sz w:val="16"/>
                <w:szCs w:val="16"/>
              </w:rPr>
            </w:pPr>
            <w:r w:rsidRPr="00D80EF0">
              <w:rPr>
                <w:rFonts w:ascii="Calibri" w:hAnsi="Calibri" w:cs="Calibri"/>
                <w:b/>
                <w:bCs/>
                <w:color w:val="000000"/>
                <w:sz w:val="16"/>
                <w:szCs w:val="16"/>
              </w:rPr>
              <w:t>Net $/Ac Difference vs Flat Rate</w:t>
            </w:r>
          </w:p>
        </w:tc>
        <w:tc>
          <w:tcPr>
            <w:tcW w:w="662"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b/>
                <w:bCs/>
                <w:color w:val="000000"/>
                <w:sz w:val="16"/>
                <w:szCs w:val="16"/>
              </w:rPr>
            </w:pPr>
          </w:p>
        </w:tc>
        <w:tc>
          <w:tcPr>
            <w:tcW w:w="738" w:type="dxa"/>
            <w:tcBorders>
              <w:top w:val="nil"/>
              <w:left w:val="single" w:sz="4" w:space="0" w:color="auto"/>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000000"/>
                <w:sz w:val="16"/>
                <w:szCs w:val="16"/>
              </w:rPr>
            </w:pPr>
            <w:r w:rsidRPr="00D80EF0">
              <w:rPr>
                <w:rFonts w:ascii="Calibri" w:hAnsi="Calibri" w:cs="Calibri"/>
                <w:color w:val="FF0000"/>
                <w:sz w:val="16"/>
                <w:szCs w:val="16"/>
              </w:rPr>
              <w:t>-$57.84</w:t>
            </w:r>
          </w:p>
        </w:tc>
        <w:tc>
          <w:tcPr>
            <w:tcW w:w="92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FF0000"/>
                <w:sz w:val="16"/>
                <w:szCs w:val="16"/>
              </w:rPr>
            </w:pPr>
            <w:r w:rsidRPr="00D80EF0">
              <w:rPr>
                <w:rFonts w:ascii="Calibri" w:hAnsi="Calibri" w:cs="Calibri"/>
                <w:color w:val="FF0000"/>
                <w:sz w:val="16"/>
                <w:szCs w:val="16"/>
              </w:rPr>
              <w:t>-$1.79</w:t>
            </w:r>
          </w:p>
        </w:tc>
        <w:tc>
          <w:tcPr>
            <w:tcW w:w="743" w:type="dxa"/>
            <w:tcBorders>
              <w:top w:val="nil"/>
              <w:left w:val="nil"/>
              <w:bottom w:val="single" w:sz="4" w:space="0" w:color="auto"/>
              <w:right w:val="single" w:sz="4" w:space="0" w:color="auto"/>
            </w:tcBorders>
            <w:shd w:val="clear" w:color="000000" w:fill="FFF2CC"/>
            <w:noWrap/>
            <w:vAlign w:val="bottom"/>
            <w:hideMark/>
          </w:tcPr>
          <w:p w:rsidR="00D80EF0" w:rsidRPr="00D80EF0" w:rsidRDefault="00D80EF0" w:rsidP="00D80EF0">
            <w:pPr>
              <w:jc w:val="center"/>
              <w:rPr>
                <w:rFonts w:ascii="Calibri" w:hAnsi="Calibri" w:cs="Calibri"/>
                <w:color w:val="385623" w:themeColor="accent6" w:themeShade="80"/>
                <w:sz w:val="16"/>
                <w:szCs w:val="16"/>
              </w:rPr>
            </w:pPr>
            <w:r w:rsidRPr="00D80EF0">
              <w:rPr>
                <w:rFonts w:ascii="Calibri" w:hAnsi="Calibri" w:cs="Calibri"/>
                <w:color w:val="385623" w:themeColor="accent6" w:themeShade="80"/>
                <w:sz w:val="16"/>
                <w:szCs w:val="16"/>
              </w:rPr>
              <w:t>$131.82</w:t>
            </w:r>
          </w:p>
        </w:tc>
        <w:tc>
          <w:tcPr>
            <w:tcW w:w="618" w:type="dxa"/>
            <w:tcBorders>
              <w:top w:val="nil"/>
              <w:left w:val="nil"/>
              <w:bottom w:val="nil"/>
              <w:right w:val="nil"/>
            </w:tcBorders>
            <w:shd w:val="clear" w:color="auto" w:fill="auto"/>
            <w:noWrap/>
            <w:vAlign w:val="bottom"/>
            <w:hideMark/>
          </w:tcPr>
          <w:p w:rsidR="00D80EF0" w:rsidRPr="00D80EF0" w:rsidRDefault="00D80EF0" w:rsidP="00D80EF0">
            <w:pPr>
              <w:jc w:val="center"/>
              <w:rPr>
                <w:rFonts w:ascii="Calibri" w:hAnsi="Calibri" w:cs="Calibri"/>
                <w:color w:val="000000"/>
                <w:sz w:val="16"/>
                <w:szCs w:val="16"/>
              </w:rPr>
            </w:pPr>
          </w:p>
        </w:tc>
        <w:tc>
          <w:tcPr>
            <w:tcW w:w="865" w:type="dxa"/>
            <w:tcBorders>
              <w:top w:val="nil"/>
              <w:left w:val="nil"/>
              <w:bottom w:val="nil"/>
              <w:right w:val="nil"/>
            </w:tcBorders>
            <w:shd w:val="clear" w:color="auto" w:fill="auto"/>
            <w:noWrap/>
            <w:vAlign w:val="bottom"/>
            <w:hideMark/>
          </w:tcPr>
          <w:p w:rsidR="00D80EF0" w:rsidRPr="00D80EF0" w:rsidRDefault="00D80EF0" w:rsidP="00D80EF0">
            <w:pPr>
              <w:jc w:val="center"/>
              <w:rPr>
                <w:sz w:val="20"/>
                <w:szCs w:val="20"/>
              </w:rPr>
            </w:pPr>
          </w:p>
        </w:tc>
        <w:tc>
          <w:tcPr>
            <w:tcW w:w="1340"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c>
          <w:tcPr>
            <w:tcW w:w="743" w:type="dxa"/>
            <w:tcBorders>
              <w:top w:val="nil"/>
              <w:left w:val="nil"/>
              <w:bottom w:val="nil"/>
              <w:right w:val="nil"/>
            </w:tcBorders>
            <w:shd w:val="clear" w:color="auto" w:fill="auto"/>
            <w:noWrap/>
            <w:vAlign w:val="bottom"/>
            <w:hideMark/>
          </w:tcPr>
          <w:p w:rsidR="00D80EF0" w:rsidRPr="00D80EF0" w:rsidRDefault="00D80EF0" w:rsidP="00D80EF0">
            <w:pPr>
              <w:rPr>
                <w:sz w:val="20"/>
                <w:szCs w:val="20"/>
              </w:rPr>
            </w:pPr>
          </w:p>
        </w:tc>
      </w:tr>
    </w:tbl>
    <w:p w:rsidR="00EB21FE" w:rsidRDefault="00EB21FE" w:rsidP="00EB21FE">
      <w:pPr>
        <w:rPr>
          <w:sz w:val="22"/>
          <w:szCs w:val="22"/>
        </w:rPr>
      </w:pPr>
    </w:p>
    <w:p w:rsidR="008926A7" w:rsidRDefault="008926A7" w:rsidP="00EB21FE">
      <w:pPr>
        <w:rPr>
          <w:sz w:val="22"/>
          <w:szCs w:val="22"/>
        </w:rPr>
      </w:pPr>
    </w:p>
    <w:p w:rsidR="00D91E49" w:rsidRDefault="00115952" w:rsidP="00EB21FE">
      <w:pPr>
        <w:rPr>
          <w:sz w:val="22"/>
          <w:szCs w:val="22"/>
        </w:rPr>
      </w:pPr>
      <w:r>
        <w:rPr>
          <w:sz w:val="22"/>
          <w:szCs w:val="22"/>
        </w:rPr>
        <w:lastRenderedPageBreak/>
        <w:t xml:space="preserve">The chart above breaks down all the results from every replication of the trial. The top four rows of each section are actual fertilizer costs per replication based on the as applied maps from the spreader during the topdress application. The bottom three rows in each section are average yield for each replication based off yield derived from the combine monitor. Significant figures are the average yield from each trial which are highlighted in the summary portion of the chart. Encirca shows significantly higher </w:t>
      </w:r>
      <w:r w:rsidR="00D91E49">
        <w:rPr>
          <w:sz w:val="22"/>
          <w:szCs w:val="22"/>
        </w:rPr>
        <w:t>yield than the other three treatments with an average of 221.8 bushels/acre compared to Nitrate Now’s 179.63 bu/A, R7’s 164.03 bu/A, and the flat rate with 178.44 bu/A. Economically, after deducting fertilizer expenses, Encirca was significantly more profitable. Even after have much higher fertilizer expenses, it was $131.82 more profitable per acre to use the Encirca program over a flat rate program based on a $3.90 cash price for corn. The other two programs, Nitrate Now and R7, were actually less profitable per acre than the flat rate treatment. Based on these results, Encirca was the most accurate in predicting we</w:t>
      </w:r>
      <w:r w:rsidR="00A63E93">
        <w:rPr>
          <w:sz w:val="22"/>
          <w:szCs w:val="22"/>
        </w:rPr>
        <w:t>ather forecasts for the year by</w:t>
      </w:r>
      <w:r w:rsidR="00D91E49">
        <w:rPr>
          <w:sz w:val="22"/>
          <w:szCs w:val="22"/>
        </w:rPr>
        <w:t xml:space="preserve"> predicted heavy rainfalls which would leach away available nitrogen later in the season. Therefore</w:t>
      </w:r>
      <w:r w:rsidR="00A63E93">
        <w:rPr>
          <w:sz w:val="22"/>
          <w:szCs w:val="22"/>
        </w:rPr>
        <w:t>,</w:t>
      </w:r>
      <w:r w:rsidR="00D91E49">
        <w:rPr>
          <w:sz w:val="22"/>
          <w:szCs w:val="22"/>
        </w:rPr>
        <w:t xml:space="preserve"> Encirca recommended applying significantly more nitrogen and in return had higher yields to generate a high return on investment for those fertilizer dollars.</w:t>
      </w:r>
    </w:p>
    <w:p w:rsidR="00A63E93" w:rsidRDefault="00A63E93" w:rsidP="00EB21FE">
      <w:pPr>
        <w:rPr>
          <w:sz w:val="22"/>
          <w:szCs w:val="22"/>
        </w:rPr>
      </w:pPr>
    </w:p>
    <w:p w:rsidR="0000497E" w:rsidRPr="00E67F90" w:rsidRDefault="0000497E"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BF4BC7" w:rsidRDefault="00BF4BC7" w:rsidP="00EB21FE">
      <w:pPr>
        <w:rPr>
          <w:sz w:val="22"/>
          <w:szCs w:val="22"/>
        </w:rPr>
      </w:pPr>
      <w:r>
        <w:rPr>
          <w:sz w:val="22"/>
          <w:szCs w:val="22"/>
        </w:rPr>
        <w:t>Challenges we encountered were deciding what prices to hold constant in the results section. The cost of fertilizer and the cash price of corn sold can vary farm to farm. Anyone analyzing the results should be encouraged to plug in their own fertilizer and cash corn prices to see how it may turn out on their own farm.</w:t>
      </w:r>
    </w:p>
    <w:p w:rsidR="00EB21FE" w:rsidRPr="00E67F90" w:rsidRDefault="00EB21FE" w:rsidP="00EB21FE">
      <w:pPr>
        <w:rPr>
          <w:sz w:val="22"/>
          <w:szCs w:val="22"/>
        </w:rPr>
      </w:pPr>
    </w:p>
    <w:p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BF4BC7" w:rsidP="00EB21FE">
      <w:pPr>
        <w:rPr>
          <w:sz w:val="22"/>
          <w:szCs w:val="22"/>
        </w:rPr>
      </w:pPr>
      <w:r>
        <w:rPr>
          <w:sz w:val="22"/>
          <w:szCs w:val="22"/>
        </w:rPr>
        <w:t>Minnesota Ag Expo poster, talked with a handful of farmers at a county insurance meeting that had topics based on land stewardship practices.</w:t>
      </w:r>
    </w:p>
    <w:p w:rsidR="00876B28" w:rsidRDefault="00876B28" w:rsidP="00EB21FE">
      <w:pPr>
        <w:rPr>
          <w:sz w:val="22"/>
          <w:szCs w:val="22"/>
        </w:rPr>
      </w:pPr>
    </w:p>
    <w:p w:rsidR="00BF4BC7" w:rsidRDefault="00876B28" w:rsidP="00EB21FE">
      <w:pPr>
        <w:rPr>
          <w:i/>
          <w:sz w:val="22"/>
          <w:szCs w:val="22"/>
        </w:rPr>
      </w:pPr>
      <w:r>
        <w:rPr>
          <w:sz w:val="22"/>
          <w:szCs w:val="22"/>
        </w:rPr>
        <w:t xml:space="preserve">5.) HOW CAN WE HELP? </w:t>
      </w:r>
      <w:r>
        <w:rPr>
          <w:i/>
          <w:sz w:val="22"/>
          <w:szCs w:val="22"/>
        </w:rPr>
        <w:t xml:space="preserve">(Please let us know how we can improve the experience </w:t>
      </w:r>
      <w:r w:rsidR="00B91F59">
        <w:rPr>
          <w:i/>
          <w:sz w:val="22"/>
          <w:szCs w:val="22"/>
        </w:rPr>
        <w:t>for the next generation of projects</w:t>
      </w:r>
      <w:r>
        <w:rPr>
          <w:i/>
          <w:sz w:val="22"/>
          <w:szCs w:val="22"/>
        </w:rPr>
        <w:t>.)</w:t>
      </w:r>
    </w:p>
    <w:p w:rsidR="00876B28" w:rsidRPr="00BF4BC7" w:rsidRDefault="0000497E" w:rsidP="00BF4BC7">
      <w:pPr>
        <w:rPr>
          <w:sz w:val="22"/>
          <w:szCs w:val="22"/>
        </w:rPr>
      </w:pPr>
      <w:r>
        <w:rPr>
          <w:sz w:val="22"/>
          <w:szCs w:val="22"/>
        </w:rPr>
        <w:t>I loved the project! Wouldn’t change a thing.</w:t>
      </w:r>
    </w:p>
    <w:sectPr w:rsidR="00876B28" w:rsidRPr="00BF4BC7"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174" w:rsidRDefault="001A7174" w:rsidP="00EB21FE">
      <w:r>
        <w:separator/>
      </w:r>
    </w:p>
  </w:endnote>
  <w:endnote w:type="continuationSeparator" w:id="0">
    <w:p w:rsidR="001A7174" w:rsidRDefault="001A7174"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174" w:rsidRDefault="001A7174" w:rsidP="00EB21FE">
      <w:r>
        <w:separator/>
      </w:r>
    </w:p>
  </w:footnote>
  <w:footnote w:type="continuationSeparator" w:id="0">
    <w:p w:rsidR="001A7174" w:rsidRDefault="001A7174"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497E"/>
    <w:rsid w:val="00115952"/>
    <w:rsid w:val="00196664"/>
    <w:rsid w:val="001A7174"/>
    <w:rsid w:val="003116E9"/>
    <w:rsid w:val="00370AC0"/>
    <w:rsid w:val="00383FF5"/>
    <w:rsid w:val="003D6663"/>
    <w:rsid w:val="004405AD"/>
    <w:rsid w:val="004E74F8"/>
    <w:rsid w:val="00531991"/>
    <w:rsid w:val="006D12D1"/>
    <w:rsid w:val="00876B28"/>
    <w:rsid w:val="008926A7"/>
    <w:rsid w:val="00A63E93"/>
    <w:rsid w:val="00AF2A00"/>
    <w:rsid w:val="00B91F59"/>
    <w:rsid w:val="00BF4BC7"/>
    <w:rsid w:val="00D42A5C"/>
    <w:rsid w:val="00D80EF0"/>
    <w:rsid w:val="00D91E49"/>
    <w:rsid w:val="00E56AF0"/>
    <w:rsid w:val="00EB16B7"/>
    <w:rsid w:val="00EB21FE"/>
    <w:rsid w:val="00EE654A"/>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380">
      <w:bodyDiv w:val="1"/>
      <w:marLeft w:val="0"/>
      <w:marRight w:val="0"/>
      <w:marTop w:val="0"/>
      <w:marBottom w:val="0"/>
      <w:divBdr>
        <w:top w:val="none" w:sz="0" w:space="0" w:color="auto"/>
        <w:left w:val="none" w:sz="0" w:space="0" w:color="auto"/>
        <w:bottom w:val="none" w:sz="0" w:space="0" w:color="auto"/>
        <w:right w:val="none" w:sz="0" w:space="0" w:color="auto"/>
      </w:divBdr>
    </w:div>
    <w:div w:id="12273008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5539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2020-01-31T20:19:00Z</cp:lastPrinted>
  <dcterms:created xsi:type="dcterms:W3CDTF">2020-01-31T20:20:00Z</dcterms:created>
  <dcterms:modified xsi:type="dcterms:W3CDTF">2020-01-31T20:20:00Z</dcterms:modified>
</cp:coreProperties>
</file>