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EB21FE" w:rsidP="00EB21FE">
      <w:pPr>
        <w:jc w:val="center"/>
        <w:rPr>
          <w:b/>
          <w:sz w:val="22"/>
          <w:szCs w:val="22"/>
        </w:rPr>
      </w:pPr>
      <w:r>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DD0ED0" w:rsidRDefault="00EB21FE" w:rsidP="00DD0ED0">
      <w:pPr>
        <w:rPr>
          <w:rFonts w:ascii="Arial" w:hAnsi="Arial" w:cs="Arial"/>
        </w:rPr>
      </w:pPr>
      <w:r>
        <w:rPr>
          <w:sz w:val="22"/>
          <w:szCs w:val="22"/>
        </w:rPr>
        <w:t xml:space="preserve">PROJECT </w:t>
      </w:r>
      <w:r w:rsidR="006D12D1">
        <w:rPr>
          <w:sz w:val="22"/>
          <w:szCs w:val="22"/>
        </w:rPr>
        <w:t>TITLE</w:t>
      </w:r>
      <w:r>
        <w:rPr>
          <w:sz w:val="22"/>
          <w:szCs w:val="22"/>
        </w:rPr>
        <w:t xml:space="preserve">: </w:t>
      </w:r>
      <w:r w:rsidR="00DD0ED0" w:rsidRPr="00DD0ED0">
        <w:rPr>
          <w:sz w:val="22"/>
          <w:szCs w:val="22"/>
        </w:rPr>
        <w:t>Recovery and Use of Value-Added Corn Functional Ingredients</w:t>
      </w:r>
    </w:p>
    <w:p w:rsidR="00EB21FE" w:rsidRDefault="00EB21FE" w:rsidP="00EB21FE">
      <w:pPr>
        <w:rPr>
          <w:sz w:val="22"/>
          <w:szCs w:val="22"/>
        </w:rPr>
      </w:pPr>
    </w:p>
    <w:p w:rsidR="006D12D1" w:rsidRDefault="006D12D1" w:rsidP="00EB21FE">
      <w:pPr>
        <w:rPr>
          <w:sz w:val="22"/>
          <w:szCs w:val="22"/>
        </w:rPr>
      </w:pPr>
      <w:r>
        <w:rPr>
          <w:sz w:val="22"/>
          <w:szCs w:val="22"/>
        </w:rPr>
        <w:t>PROJECT NUMBER:</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68771F">
        <w:rPr>
          <w:sz w:val="22"/>
          <w:szCs w:val="22"/>
        </w:rPr>
        <w:t>Jan 31, 2020</w:t>
      </w:r>
    </w:p>
    <w:p w:rsidR="00EB21FE" w:rsidRDefault="006D12D1" w:rsidP="00EB21FE">
      <w:pPr>
        <w:rPr>
          <w:sz w:val="22"/>
          <w:szCs w:val="22"/>
        </w:rPr>
      </w:pPr>
      <w:r>
        <w:rPr>
          <w:sz w:val="22"/>
          <w:szCs w:val="22"/>
        </w:rPr>
        <w:t>PRINCIPAL INVESTIGATOR</w:t>
      </w:r>
      <w:r w:rsidR="00EB21FE">
        <w:rPr>
          <w:sz w:val="22"/>
          <w:szCs w:val="22"/>
        </w:rPr>
        <w:t xml:space="preserve">: </w:t>
      </w:r>
      <w:r w:rsidR="0068771F">
        <w:rPr>
          <w:sz w:val="22"/>
          <w:szCs w:val="22"/>
        </w:rPr>
        <w:t>Padu Krishnan</w:t>
      </w:r>
    </w:p>
    <w:p w:rsidR="00EB21FE" w:rsidRDefault="00EB21FE" w:rsidP="006D12D1">
      <w:pPr>
        <w:rPr>
          <w:sz w:val="22"/>
          <w:szCs w:val="22"/>
        </w:rPr>
      </w:pPr>
      <w:r>
        <w:rPr>
          <w:sz w:val="22"/>
          <w:szCs w:val="22"/>
        </w:rPr>
        <w:t xml:space="preserve">ORGANIZATION: </w:t>
      </w:r>
      <w:r w:rsidR="0068771F">
        <w:rPr>
          <w:sz w:val="22"/>
          <w:szCs w:val="22"/>
        </w:rPr>
        <w:t>South Dakota State University</w:t>
      </w:r>
    </w:p>
    <w:p w:rsidR="00EB21FE" w:rsidRDefault="00EB21FE" w:rsidP="006D12D1">
      <w:pPr>
        <w:rPr>
          <w:sz w:val="22"/>
          <w:szCs w:val="22"/>
        </w:rPr>
      </w:pPr>
      <w:r>
        <w:rPr>
          <w:sz w:val="22"/>
          <w:szCs w:val="22"/>
        </w:rPr>
        <w:t xml:space="preserve">PHONE NUMBER: </w:t>
      </w:r>
      <w:r w:rsidR="0068771F">
        <w:rPr>
          <w:sz w:val="22"/>
          <w:szCs w:val="22"/>
        </w:rPr>
        <w:t>605-690-1161</w:t>
      </w:r>
    </w:p>
    <w:p w:rsidR="00EB21FE" w:rsidRDefault="00EB21FE" w:rsidP="006D12D1">
      <w:pPr>
        <w:rPr>
          <w:sz w:val="22"/>
          <w:szCs w:val="22"/>
        </w:rPr>
      </w:pPr>
      <w:r>
        <w:rPr>
          <w:sz w:val="22"/>
          <w:szCs w:val="22"/>
        </w:rPr>
        <w:t xml:space="preserve">EMAIL: </w:t>
      </w:r>
      <w:r w:rsidR="0068771F">
        <w:rPr>
          <w:sz w:val="22"/>
          <w:szCs w:val="22"/>
        </w:rPr>
        <w:t>Padmanaban.krishnan@sdstate.edu</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rsidR="0068771F" w:rsidRDefault="0068771F" w:rsidP="0068771F"/>
    <w:p w:rsidR="0068771F" w:rsidRPr="008A3BAF" w:rsidRDefault="0068771F" w:rsidP="0068771F">
      <w:r w:rsidRPr="008A3BAF">
        <w:t>A national survey</w:t>
      </w:r>
      <w:r>
        <w:t xml:space="preserve"> of ethanol plants is currently in progress</w:t>
      </w:r>
      <w:r w:rsidRPr="008A3BAF">
        <w:t xml:space="preserve"> to determine the current level of interest in value addition from corn fractions from the ethan</w:t>
      </w:r>
      <w:r>
        <w:t>ol plants.  This survey was</w:t>
      </w:r>
      <w:r w:rsidRPr="008A3BAF">
        <w:t xml:space="preserve"> distributed electronically through collaboration with Dr. Kurt Rosentrater, Distillers Grains Technology Council. </w:t>
      </w:r>
      <w:r>
        <w:t>It is hoped that f</w:t>
      </w:r>
      <w:r w:rsidRPr="008A3BAF">
        <w:t>indings from this survey will be presented at the next meeting of the DGTC in Omaha, Nebraska.</w:t>
      </w:r>
    </w:p>
    <w:p w:rsidR="0068771F" w:rsidRPr="008A3BAF" w:rsidRDefault="0068771F" w:rsidP="0068771F">
      <w:pPr>
        <w:rPr>
          <w:color w:val="000000"/>
        </w:rPr>
      </w:pPr>
    </w:p>
    <w:p w:rsidR="0068771F" w:rsidRPr="008A3BAF" w:rsidRDefault="00FF78B5" w:rsidP="0068771F">
      <w:pPr>
        <w:rPr>
          <w:color w:val="000000"/>
        </w:rPr>
      </w:pPr>
      <w:hyperlink r:id="rId8" w:history="1">
        <w:r w:rsidR="0068771F" w:rsidRPr="008A3BAF">
          <w:rPr>
            <w:rStyle w:val="Hyperlink"/>
          </w:rPr>
          <w:t>https://app.smartsheet.com/b/form/6e60b41ba82a4f289d8e81f90e7b2607</w:t>
        </w:r>
      </w:hyperlink>
    </w:p>
    <w:p w:rsidR="0068771F" w:rsidRPr="008A3BAF" w:rsidRDefault="0068771F" w:rsidP="0068771F">
      <w:pPr>
        <w:rPr>
          <w:color w:val="000000"/>
        </w:rPr>
      </w:pPr>
    </w:p>
    <w:p w:rsidR="0068771F" w:rsidRPr="008A3BAF" w:rsidRDefault="0068771F" w:rsidP="0068771F">
      <w:pPr>
        <w:rPr>
          <w:color w:val="000000"/>
        </w:rPr>
      </w:pPr>
      <w:r w:rsidRPr="008A3BAF">
        <w:rPr>
          <w:color w:val="000000"/>
        </w:rPr>
        <w:t xml:space="preserve">The survey contains over 30 question and </w:t>
      </w:r>
      <w:r w:rsidR="00524B52">
        <w:rPr>
          <w:color w:val="000000"/>
        </w:rPr>
        <w:t xml:space="preserve">the findings </w:t>
      </w:r>
      <w:r w:rsidRPr="008A3BAF">
        <w:rPr>
          <w:color w:val="000000"/>
        </w:rPr>
        <w:t xml:space="preserve">will be helpful in developing </w:t>
      </w:r>
      <w:r w:rsidR="00524B52">
        <w:rPr>
          <w:color w:val="000000"/>
        </w:rPr>
        <w:t xml:space="preserve">“actionable” </w:t>
      </w:r>
      <w:r w:rsidRPr="008A3BAF">
        <w:rPr>
          <w:color w:val="000000"/>
        </w:rPr>
        <w:t>in</w:t>
      </w:r>
      <w:r w:rsidR="00524B52">
        <w:rPr>
          <w:color w:val="000000"/>
        </w:rPr>
        <w:t>formation</w:t>
      </w:r>
      <w:r w:rsidRPr="008A3BAF">
        <w:rPr>
          <w:color w:val="000000"/>
        </w:rPr>
        <w:t xml:space="preserve"> in relation to research needs and resource development. </w:t>
      </w:r>
      <w:r>
        <w:rPr>
          <w:color w:val="000000"/>
        </w:rPr>
        <w:t xml:space="preserve"> The response rate has been slow so far.  We will determine an alternate strategy to encourage wider participation by the respondents.</w:t>
      </w:r>
    </w:p>
    <w:p w:rsidR="008926A7" w:rsidRDefault="008926A7" w:rsidP="00EB21FE">
      <w:pPr>
        <w:rPr>
          <w:sz w:val="22"/>
          <w:szCs w:val="22"/>
        </w:rPr>
      </w:pPr>
    </w:p>
    <w:p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rsidR="00EB21FE" w:rsidRDefault="00EB21FE" w:rsidP="00EB21FE">
      <w:pPr>
        <w:rPr>
          <w:sz w:val="22"/>
          <w:szCs w:val="22"/>
        </w:rPr>
      </w:pPr>
    </w:p>
    <w:p w:rsidR="00EF0EE4" w:rsidRDefault="00EF0EE4" w:rsidP="00EB21FE">
      <w:pPr>
        <w:rPr>
          <w:sz w:val="22"/>
          <w:szCs w:val="22"/>
        </w:rPr>
      </w:pPr>
      <w:r>
        <w:rPr>
          <w:sz w:val="22"/>
          <w:szCs w:val="22"/>
        </w:rPr>
        <w:t xml:space="preserve">Raw DDG and Raw DDGS </w:t>
      </w:r>
      <w:r w:rsidR="00C70B13">
        <w:rPr>
          <w:sz w:val="22"/>
          <w:szCs w:val="22"/>
        </w:rPr>
        <w:t>originating in the ethanol plant and (</w:t>
      </w:r>
      <w:r>
        <w:rPr>
          <w:sz w:val="22"/>
          <w:szCs w:val="22"/>
        </w:rPr>
        <w:t>used as starting materials</w:t>
      </w:r>
      <w:r w:rsidR="00C70B13">
        <w:rPr>
          <w:sz w:val="22"/>
          <w:szCs w:val="22"/>
        </w:rPr>
        <w:t>)</w:t>
      </w:r>
      <w:r>
        <w:rPr>
          <w:sz w:val="22"/>
          <w:szCs w:val="22"/>
        </w:rPr>
        <w:t xml:space="preserve"> yielded Total Phenol Content (TPC) of 412mg/100 and 487 mg/100g, respectively.</w:t>
      </w:r>
      <w:r w:rsidR="00C70B13">
        <w:rPr>
          <w:sz w:val="22"/>
          <w:szCs w:val="22"/>
        </w:rPr>
        <w:t xml:space="preserve">  Raw DDG and Raw DDGS originating in the ethanol plants had a total carotenoid</w:t>
      </w:r>
      <w:r w:rsidR="00CC1DBF">
        <w:rPr>
          <w:sz w:val="22"/>
          <w:szCs w:val="22"/>
        </w:rPr>
        <w:t>s</w:t>
      </w:r>
      <w:r w:rsidR="00C70B13">
        <w:rPr>
          <w:sz w:val="22"/>
          <w:szCs w:val="22"/>
        </w:rPr>
        <w:t xml:space="preserve"> (TCC) content of 13.3mg/100g and 14.8mg/100g, respectively.  Either material </w:t>
      </w:r>
      <w:r w:rsidR="00CC1DBF">
        <w:rPr>
          <w:sz w:val="22"/>
          <w:szCs w:val="22"/>
        </w:rPr>
        <w:t>(DDG or DDGS) may</w:t>
      </w:r>
      <w:r w:rsidR="00C70B13">
        <w:rPr>
          <w:sz w:val="22"/>
          <w:szCs w:val="22"/>
        </w:rPr>
        <w:t xml:space="preserve"> serve as a consistent source to be</w:t>
      </w:r>
      <w:r w:rsidR="00CC1DBF">
        <w:rPr>
          <w:sz w:val="22"/>
          <w:szCs w:val="22"/>
        </w:rPr>
        <w:t xml:space="preserve"> </w:t>
      </w:r>
      <w:r w:rsidR="00C70B13">
        <w:rPr>
          <w:sz w:val="22"/>
          <w:szCs w:val="22"/>
        </w:rPr>
        <w:t xml:space="preserve">optimized for extraction and recovery of moieties that may serve </w:t>
      </w:r>
      <w:r w:rsidR="00EE5A47">
        <w:rPr>
          <w:sz w:val="22"/>
          <w:szCs w:val="22"/>
        </w:rPr>
        <w:t>useful roles as supplements in human and animal food rations.</w:t>
      </w:r>
    </w:p>
    <w:p w:rsidR="00EE5A47" w:rsidRDefault="00EE5A47" w:rsidP="00EB21FE">
      <w:pPr>
        <w:rPr>
          <w:sz w:val="22"/>
          <w:szCs w:val="22"/>
        </w:rPr>
      </w:pPr>
    </w:p>
    <w:p w:rsidR="00EE5A47" w:rsidRDefault="00EE5A47" w:rsidP="00EB21FE">
      <w:pPr>
        <w:rPr>
          <w:sz w:val="22"/>
          <w:szCs w:val="22"/>
        </w:rPr>
      </w:pPr>
      <w:r>
        <w:rPr>
          <w:sz w:val="22"/>
          <w:szCs w:val="22"/>
        </w:rPr>
        <w:t>The fate and stability of these compounds in processing is o</w:t>
      </w:r>
      <w:r w:rsidR="00F96A68">
        <w:rPr>
          <w:sz w:val="22"/>
          <w:szCs w:val="22"/>
        </w:rPr>
        <w:t xml:space="preserve">f interest to food processors. </w:t>
      </w:r>
      <w:r>
        <w:rPr>
          <w:sz w:val="22"/>
          <w:szCs w:val="22"/>
        </w:rPr>
        <w:t>Solvents such as hexanes and ethanol</w:t>
      </w:r>
      <w:r w:rsidR="00CC1DBF">
        <w:rPr>
          <w:sz w:val="22"/>
          <w:szCs w:val="22"/>
        </w:rPr>
        <w:t>,</w:t>
      </w:r>
      <w:r>
        <w:rPr>
          <w:sz w:val="22"/>
          <w:szCs w:val="22"/>
        </w:rPr>
        <w:t xml:space="preserve"> may be selectively used to optimize recovery. Ethanol, for example, yields high levels of TPC in the residue that will us</w:t>
      </w:r>
      <w:r w:rsidR="00CC1DBF">
        <w:rPr>
          <w:sz w:val="22"/>
          <w:szCs w:val="22"/>
        </w:rPr>
        <w:t xml:space="preserve">ed in food grade applications. </w:t>
      </w:r>
      <w:r>
        <w:rPr>
          <w:sz w:val="22"/>
          <w:szCs w:val="22"/>
        </w:rPr>
        <w:t>This same treatment yield leads to losses of carotenoids in the oil fractions removed during ethanol washing.  The oils pose problems of rancidity in food grade DDG and therefore, need to be removed</w:t>
      </w:r>
      <w:r w:rsidR="00CC1DBF">
        <w:rPr>
          <w:sz w:val="22"/>
          <w:szCs w:val="22"/>
        </w:rPr>
        <w:t xml:space="preserve"> to ensure FDDG shelf sta</w:t>
      </w:r>
      <w:r>
        <w:rPr>
          <w:sz w:val="22"/>
          <w:szCs w:val="22"/>
        </w:rPr>
        <w:t xml:space="preserve">bility.  The </w:t>
      </w:r>
      <w:r>
        <w:rPr>
          <w:sz w:val="22"/>
          <w:szCs w:val="22"/>
        </w:rPr>
        <w:lastRenderedPageBreak/>
        <w:t>ethanol solvents can thus yield carotenoids.   Graduate Research Assistant Brady Bury, has employed a 6</w:t>
      </w:r>
      <w:r w:rsidR="00F96A68">
        <w:rPr>
          <w:sz w:val="22"/>
          <w:szCs w:val="22"/>
        </w:rPr>
        <w:t>-</w:t>
      </w:r>
      <w:r>
        <w:rPr>
          <w:sz w:val="22"/>
          <w:szCs w:val="22"/>
        </w:rPr>
        <w:t>liter solvent extractor to “wash”</w:t>
      </w:r>
      <w:r w:rsidR="00CC1DBF">
        <w:rPr>
          <w:sz w:val="22"/>
          <w:szCs w:val="22"/>
        </w:rPr>
        <w:t xml:space="preserve"> </w:t>
      </w:r>
      <w:r>
        <w:rPr>
          <w:sz w:val="22"/>
          <w:szCs w:val="22"/>
        </w:rPr>
        <w:t>DDG and DDGS employing two</w:t>
      </w:r>
      <w:r w:rsidR="00F96A68">
        <w:rPr>
          <w:sz w:val="22"/>
          <w:szCs w:val="22"/>
        </w:rPr>
        <w:t xml:space="preserve"> techniques (sequential and non-</w:t>
      </w:r>
      <w:r>
        <w:rPr>
          <w:sz w:val="22"/>
          <w:szCs w:val="22"/>
        </w:rPr>
        <w:t>sequential washing) in order to determine which technique is more effective in partitioning TPC and TCC and also to determine wh</w:t>
      </w:r>
      <w:r w:rsidR="007C7B64">
        <w:rPr>
          <w:sz w:val="22"/>
          <w:szCs w:val="22"/>
        </w:rPr>
        <w:t>ich te</w:t>
      </w:r>
      <w:r w:rsidR="00CC1DBF">
        <w:rPr>
          <w:sz w:val="22"/>
          <w:szCs w:val="22"/>
        </w:rPr>
        <w:t xml:space="preserve">chnique conserves solvent use. </w:t>
      </w:r>
      <w:r w:rsidR="009B44DC">
        <w:rPr>
          <w:sz w:val="22"/>
          <w:szCs w:val="22"/>
        </w:rPr>
        <w:t>While ethanol is the food grade solvent of choice, comparisons are made relative to hexane washing which serves as a control.</w:t>
      </w:r>
      <w:r w:rsidR="00F96A68">
        <w:rPr>
          <w:sz w:val="22"/>
          <w:szCs w:val="22"/>
        </w:rPr>
        <w:t xml:space="preserve"> </w:t>
      </w:r>
      <w:r w:rsidR="00CC1DBF">
        <w:rPr>
          <w:sz w:val="22"/>
          <w:szCs w:val="22"/>
        </w:rPr>
        <w:t>A Soxhlet apparatus was also used as a parallel technique for continuous refluxing with solvents to determine</w:t>
      </w:r>
      <w:r w:rsidR="00F96A68">
        <w:rPr>
          <w:sz w:val="22"/>
          <w:szCs w:val="22"/>
        </w:rPr>
        <w:t xml:space="preserve"> if</w:t>
      </w:r>
      <w:r w:rsidR="00CC1DBF">
        <w:rPr>
          <w:sz w:val="22"/>
          <w:szCs w:val="22"/>
        </w:rPr>
        <w:t xml:space="preserve"> yields of TCC in recovered and concentrated oils are comparable to recovery encountered in the Six Liter Extractor.</w:t>
      </w:r>
    </w:p>
    <w:p w:rsidR="008926A7" w:rsidRDefault="00CC1DBF" w:rsidP="00EB21FE">
      <w:pPr>
        <w:rPr>
          <w:sz w:val="22"/>
          <w:szCs w:val="22"/>
        </w:rPr>
      </w:pPr>
      <w:r>
        <w:rPr>
          <w:sz w:val="22"/>
          <w:szCs w:val="22"/>
        </w:rPr>
        <w:t xml:space="preserve">Oils recovered from DDG or DDGS serve as repository of carotenoids. TPC and TCC thus serve as quality control measurements </w:t>
      </w:r>
      <w:r w:rsidR="00F96A68">
        <w:rPr>
          <w:sz w:val="22"/>
          <w:szCs w:val="22"/>
        </w:rPr>
        <w:t>to be followed by</w:t>
      </w:r>
      <w:r>
        <w:rPr>
          <w:sz w:val="22"/>
          <w:szCs w:val="22"/>
        </w:rPr>
        <w:t xml:space="preserve"> further mass balance studies employing more accurate and pre</w:t>
      </w:r>
      <w:r w:rsidR="006E73AD">
        <w:rPr>
          <w:sz w:val="22"/>
          <w:szCs w:val="22"/>
        </w:rPr>
        <w:t>cise quantification using High P</w:t>
      </w:r>
      <w:r>
        <w:rPr>
          <w:sz w:val="22"/>
          <w:szCs w:val="22"/>
        </w:rPr>
        <w:t xml:space="preserve">erformance Liquid Chromatography techniques.      </w:t>
      </w: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rsidR="00EB21FE" w:rsidRPr="00E67F90" w:rsidRDefault="00EB21FE" w:rsidP="00EB21FE">
      <w:pPr>
        <w:rPr>
          <w:sz w:val="22"/>
          <w:szCs w:val="22"/>
        </w:rPr>
      </w:pPr>
    </w:p>
    <w:p w:rsidR="00EB21FE" w:rsidRDefault="00F96A68" w:rsidP="00EB21FE">
      <w:pPr>
        <w:rPr>
          <w:sz w:val="22"/>
          <w:szCs w:val="22"/>
        </w:rPr>
      </w:pPr>
      <w:r>
        <w:rPr>
          <w:sz w:val="22"/>
          <w:szCs w:val="22"/>
        </w:rPr>
        <w:t>No challenges have been encountered.</w:t>
      </w:r>
    </w:p>
    <w:p w:rsidR="00EB21FE" w:rsidRPr="00E67F90" w:rsidRDefault="00EB21FE" w:rsidP="00EB21FE">
      <w:pPr>
        <w:rPr>
          <w:sz w:val="22"/>
          <w:szCs w:val="22"/>
        </w:rPr>
      </w:pPr>
    </w:p>
    <w:p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rsidR="0068771F" w:rsidRDefault="0068771F" w:rsidP="00EB21FE">
      <w:pPr>
        <w:rPr>
          <w:sz w:val="22"/>
          <w:szCs w:val="22"/>
        </w:rPr>
      </w:pPr>
    </w:p>
    <w:p w:rsidR="00383FF5" w:rsidRDefault="006949F3" w:rsidP="00EB21FE">
      <w:pPr>
        <w:rPr>
          <w:sz w:val="22"/>
          <w:szCs w:val="22"/>
        </w:rPr>
      </w:pPr>
      <w:r>
        <w:rPr>
          <w:sz w:val="22"/>
          <w:szCs w:val="22"/>
        </w:rPr>
        <w:t>No budget challenges or deviations from projected spending are</w:t>
      </w:r>
      <w:r w:rsidR="0068771F">
        <w:rPr>
          <w:sz w:val="22"/>
          <w:szCs w:val="22"/>
        </w:rPr>
        <w:t xml:space="preserve"> anticipated.</w:t>
      </w:r>
    </w:p>
    <w:p w:rsidR="00383FF5" w:rsidRDefault="00383FF5" w:rsidP="00EB21FE">
      <w:pPr>
        <w:rPr>
          <w:sz w:val="22"/>
          <w:szCs w:val="22"/>
        </w:rPr>
      </w:pPr>
    </w:p>
    <w:p w:rsidR="00EB21FE" w:rsidRDefault="00EB21FE" w:rsidP="00EB21FE">
      <w:pPr>
        <w:rPr>
          <w:sz w:val="22"/>
          <w:szCs w:val="22"/>
        </w:rPr>
      </w:pPr>
    </w:p>
    <w:p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rsidR="0068771F" w:rsidRDefault="0068771F" w:rsidP="00EB21FE">
      <w:pPr>
        <w:rPr>
          <w:i/>
          <w:sz w:val="22"/>
          <w:szCs w:val="22"/>
        </w:rPr>
      </w:pPr>
    </w:p>
    <w:p w:rsidR="0068771F" w:rsidRPr="00524B52" w:rsidRDefault="0068771F" w:rsidP="00EB21FE">
      <w:pPr>
        <w:rPr>
          <w:sz w:val="22"/>
          <w:szCs w:val="22"/>
        </w:rPr>
      </w:pPr>
      <w:r w:rsidRPr="00524B52">
        <w:rPr>
          <w:sz w:val="22"/>
          <w:szCs w:val="22"/>
        </w:rPr>
        <w:t xml:space="preserve">Two papers have been accepted for </w:t>
      </w:r>
      <w:r w:rsidR="00524B52" w:rsidRPr="00524B52">
        <w:rPr>
          <w:sz w:val="22"/>
          <w:szCs w:val="22"/>
        </w:rPr>
        <w:t xml:space="preserve">presentation at </w:t>
      </w:r>
      <w:r w:rsidRPr="00524B52">
        <w:rPr>
          <w:sz w:val="22"/>
          <w:szCs w:val="22"/>
        </w:rPr>
        <w:t>the Institute of Food Technologists</w:t>
      </w:r>
      <w:r w:rsidR="00524B52" w:rsidRPr="00524B52">
        <w:rPr>
          <w:sz w:val="22"/>
          <w:szCs w:val="22"/>
        </w:rPr>
        <w:t xml:space="preserve"> Conference</w:t>
      </w:r>
      <w:r w:rsidRPr="00524B52">
        <w:rPr>
          <w:sz w:val="22"/>
          <w:szCs w:val="22"/>
        </w:rPr>
        <w:t xml:space="preserve"> in</w:t>
      </w:r>
      <w:r w:rsidR="004E4753">
        <w:rPr>
          <w:sz w:val="22"/>
          <w:szCs w:val="22"/>
        </w:rPr>
        <w:t xml:space="preserve"> June,</w:t>
      </w:r>
      <w:r w:rsidRPr="00524B52">
        <w:rPr>
          <w:sz w:val="22"/>
          <w:szCs w:val="22"/>
        </w:rPr>
        <w:t xml:space="preserve"> Chicago, IL.</w:t>
      </w:r>
    </w:p>
    <w:p w:rsidR="0068771F" w:rsidRDefault="0068771F" w:rsidP="00EB21FE">
      <w:pPr>
        <w:rPr>
          <w:sz w:val="22"/>
          <w:szCs w:val="22"/>
        </w:rPr>
      </w:pPr>
    </w:p>
    <w:p w:rsidR="00147A25" w:rsidRDefault="00147A25" w:rsidP="00EB21FE">
      <w:pPr>
        <w:rPr>
          <w:sz w:val="22"/>
          <w:szCs w:val="22"/>
        </w:rPr>
      </w:pPr>
      <w:r>
        <w:rPr>
          <w:sz w:val="22"/>
          <w:szCs w:val="22"/>
        </w:rPr>
        <w:t>A</w:t>
      </w:r>
      <w:r w:rsidR="00395BED">
        <w:rPr>
          <w:sz w:val="22"/>
          <w:szCs w:val="22"/>
        </w:rPr>
        <w:t>n invited</w:t>
      </w:r>
      <w:r>
        <w:rPr>
          <w:sz w:val="22"/>
          <w:szCs w:val="22"/>
        </w:rPr>
        <w:t xml:space="preserve"> presenta</w:t>
      </w:r>
      <w:r w:rsidR="00395BED">
        <w:rPr>
          <w:sz w:val="22"/>
          <w:szCs w:val="22"/>
        </w:rPr>
        <w:t>tion is planned for</w:t>
      </w:r>
      <w:r>
        <w:rPr>
          <w:sz w:val="22"/>
          <w:szCs w:val="22"/>
        </w:rPr>
        <w:t xml:space="preserve"> the DGTC Conference in Omaha, NE in June 2020.</w:t>
      </w:r>
    </w:p>
    <w:p w:rsidR="00147A25" w:rsidRPr="00524B52" w:rsidRDefault="00147A25" w:rsidP="00EB21FE">
      <w:pPr>
        <w:rPr>
          <w:sz w:val="22"/>
          <w:szCs w:val="22"/>
        </w:rPr>
      </w:pPr>
    </w:p>
    <w:p w:rsidR="00346842" w:rsidRPr="00147A25" w:rsidRDefault="00524B52" w:rsidP="00EB21FE">
      <w:pPr>
        <w:rPr>
          <w:sz w:val="22"/>
          <w:szCs w:val="22"/>
        </w:rPr>
      </w:pPr>
      <w:r w:rsidRPr="00524B52">
        <w:rPr>
          <w:sz w:val="22"/>
          <w:szCs w:val="22"/>
        </w:rPr>
        <w:t>A</w:t>
      </w:r>
      <w:r w:rsidR="0068771F" w:rsidRPr="00524B52">
        <w:rPr>
          <w:sz w:val="22"/>
          <w:szCs w:val="22"/>
        </w:rPr>
        <w:t xml:space="preserve"> manuscript relating Food Grade DDG use in C</w:t>
      </w:r>
      <w:r w:rsidR="006949F3">
        <w:rPr>
          <w:sz w:val="22"/>
          <w:szCs w:val="22"/>
        </w:rPr>
        <w:t>hinese Steamed Bread was</w:t>
      </w:r>
      <w:r w:rsidR="002E2F85" w:rsidRPr="00524B52">
        <w:rPr>
          <w:sz w:val="22"/>
          <w:szCs w:val="22"/>
        </w:rPr>
        <w:t xml:space="preserve"> accepted</w:t>
      </w:r>
      <w:r w:rsidR="006949F3">
        <w:rPr>
          <w:sz w:val="22"/>
          <w:szCs w:val="22"/>
        </w:rPr>
        <w:t xml:space="preserve"> for publication</w:t>
      </w:r>
      <w:r w:rsidR="002E2F85" w:rsidRPr="00524B52">
        <w:rPr>
          <w:sz w:val="22"/>
          <w:szCs w:val="22"/>
        </w:rPr>
        <w:t xml:space="preserve"> following peer review.</w:t>
      </w:r>
    </w:p>
    <w:p w:rsidR="00346842" w:rsidRPr="00147A25" w:rsidRDefault="00346842" w:rsidP="00F96A68">
      <w:pPr>
        <w:pStyle w:val="ListParagraph"/>
        <w:autoSpaceDE w:val="0"/>
        <w:autoSpaceDN w:val="0"/>
        <w:adjustRightInd w:val="0"/>
        <w:ind w:left="630"/>
        <w:rPr>
          <w:sz w:val="22"/>
          <w:szCs w:val="22"/>
        </w:rPr>
      </w:pPr>
      <w:r w:rsidRPr="00147A25">
        <w:rPr>
          <w:sz w:val="22"/>
          <w:szCs w:val="22"/>
        </w:rPr>
        <w:t>X. Li,</w:t>
      </w:r>
      <w:r w:rsidRPr="00147A25">
        <w:rPr>
          <w:sz w:val="22"/>
          <w:szCs w:val="22"/>
          <w:vertAlign w:val="superscript"/>
        </w:rPr>
        <w:t xml:space="preserve"> </w:t>
      </w:r>
      <w:r w:rsidRPr="00147A25">
        <w:rPr>
          <w:sz w:val="22"/>
          <w:szCs w:val="22"/>
        </w:rPr>
        <w:t>C. Wang,</w:t>
      </w:r>
      <w:bookmarkStart w:id="1" w:name="OLE_LINK344"/>
      <w:bookmarkStart w:id="2" w:name="OLE_LINK345"/>
      <w:bookmarkStart w:id="3" w:name="OLE_LINK6"/>
      <w:bookmarkStart w:id="4" w:name="OLE_LINK13"/>
      <w:r w:rsidRPr="00147A25">
        <w:rPr>
          <w:sz w:val="22"/>
          <w:szCs w:val="22"/>
          <w:vertAlign w:val="superscript"/>
        </w:rPr>
        <w:t xml:space="preserve"> </w:t>
      </w:r>
      <w:r w:rsidRPr="00147A25">
        <w:rPr>
          <w:sz w:val="22"/>
          <w:szCs w:val="22"/>
        </w:rPr>
        <w:t>and P. Krishna</w:t>
      </w:r>
      <w:bookmarkEnd w:id="1"/>
      <w:bookmarkEnd w:id="2"/>
      <w:bookmarkEnd w:id="3"/>
      <w:bookmarkEnd w:id="4"/>
      <w:r w:rsidRPr="00147A25">
        <w:rPr>
          <w:sz w:val="22"/>
          <w:szCs w:val="22"/>
        </w:rPr>
        <w:t xml:space="preserve">n. 2019. Effects of corn </w:t>
      </w:r>
      <w:bookmarkStart w:id="5" w:name="OLE_LINK579"/>
      <w:bookmarkStart w:id="6" w:name="OLE_LINK580"/>
      <w:bookmarkStart w:id="7" w:name="OLE_LINK67"/>
      <w:bookmarkStart w:id="8" w:name="OLE_LINK556"/>
      <w:r w:rsidRPr="00147A25">
        <w:rPr>
          <w:sz w:val="22"/>
          <w:szCs w:val="22"/>
        </w:rPr>
        <w:t>distillers dried</w:t>
      </w:r>
      <w:bookmarkEnd w:id="5"/>
      <w:bookmarkEnd w:id="6"/>
      <w:r w:rsidRPr="00147A25">
        <w:rPr>
          <w:sz w:val="22"/>
          <w:szCs w:val="22"/>
        </w:rPr>
        <w:t xml:space="preserve"> grains</w:t>
      </w:r>
      <w:bookmarkEnd w:id="7"/>
      <w:bookmarkEnd w:id="8"/>
      <w:r w:rsidRPr="00147A25">
        <w:rPr>
          <w:sz w:val="22"/>
          <w:szCs w:val="22"/>
        </w:rPr>
        <w:t xml:space="preserve"> on dough properties and </w:t>
      </w:r>
      <w:bookmarkStart w:id="9" w:name="OLE_LINK166"/>
      <w:bookmarkStart w:id="10" w:name="OLE_LINK169"/>
      <w:r w:rsidRPr="00147A25">
        <w:rPr>
          <w:sz w:val="22"/>
          <w:szCs w:val="22"/>
        </w:rPr>
        <w:t>quality of Chinese Steamed Bread. 2019</w:t>
      </w:r>
      <w:bookmarkEnd w:id="9"/>
      <w:bookmarkEnd w:id="10"/>
      <w:r w:rsidRPr="00147A25">
        <w:rPr>
          <w:sz w:val="22"/>
          <w:szCs w:val="22"/>
        </w:rPr>
        <w:t>. Journal of Food Science and Nutrition (Accepted for publication).</w:t>
      </w:r>
    </w:p>
    <w:p w:rsidR="00147A25" w:rsidRDefault="00147A25" w:rsidP="00EB21FE">
      <w:pPr>
        <w:rPr>
          <w:sz w:val="22"/>
          <w:szCs w:val="22"/>
        </w:rPr>
      </w:pPr>
    </w:p>
    <w:p w:rsidR="00346842" w:rsidRDefault="00147A25" w:rsidP="00EB21FE">
      <w:pPr>
        <w:rPr>
          <w:sz w:val="22"/>
          <w:szCs w:val="22"/>
        </w:rPr>
      </w:pPr>
      <w:r>
        <w:rPr>
          <w:sz w:val="22"/>
          <w:szCs w:val="22"/>
        </w:rPr>
        <w:t>An abstract on valuable corn compounds will be presented at the National Corn Utilization Conference in Missouri, 2020.</w:t>
      </w:r>
    </w:p>
    <w:p w:rsidR="004E4753" w:rsidRDefault="004E4753" w:rsidP="00EB21FE">
      <w:pPr>
        <w:rPr>
          <w:sz w:val="22"/>
          <w:szCs w:val="22"/>
        </w:rPr>
      </w:pPr>
    </w:p>
    <w:p w:rsidR="004E4753" w:rsidRPr="004E4753" w:rsidRDefault="004E4753" w:rsidP="004E4753">
      <w:pPr>
        <w:rPr>
          <w:sz w:val="22"/>
          <w:szCs w:val="22"/>
        </w:rPr>
      </w:pPr>
      <w:r w:rsidRPr="004E4753">
        <w:rPr>
          <w:sz w:val="22"/>
          <w:szCs w:val="22"/>
        </w:rPr>
        <w:t xml:space="preserve">An automated </w:t>
      </w:r>
      <w:r>
        <w:rPr>
          <w:sz w:val="22"/>
          <w:szCs w:val="22"/>
        </w:rPr>
        <w:t xml:space="preserve">ANKOM </w:t>
      </w:r>
      <w:r w:rsidRPr="004E4753">
        <w:rPr>
          <w:sz w:val="22"/>
          <w:szCs w:val="22"/>
        </w:rPr>
        <w:t>Total Dietary Fiber Analyzer, acqui</w:t>
      </w:r>
      <w:r>
        <w:rPr>
          <w:sz w:val="22"/>
          <w:szCs w:val="22"/>
        </w:rPr>
        <w:t>red through National Institutes of Food and Agriculture (NIFA) USDA</w:t>
      </w:r>
      <w:r w:rsidRPr="004E4753">
        <w:rPr>
          <w:sz w:val="22"/>
          <w:szCs w:val="22"/>
        </w:rPr>
        <w:t xml:space="preserve"> funding,</w:t>
      </w:r>
      <w:r>
        <w:rPr>
          <w:sz w:val="22"/>
          <w:szCs w:val="22"/>
        </w:rPr>
        <w:t xml:space="preserve"> was</w:t>
      </w:r>
      <w:r w:rsidRPr="004E4753">
        <w:rPr>
          <w:sz w:val="22"/>
          <w:szCs w:val="22"/>
        </w:rPr>
        <w:t xml:space="preserve"> used </w:t>
      </w:r>
      <w:r>
        <w:rPr>
          <w:sz w:val="22"/>
          <w:szCs w:val="22"/>
        </w:rPr>
        <w:t>to characterize food grade DDG</w:t>
      </w:r>
      <w:r w:rsidRPr="004E4753">
        <w:rPr>
          <w:sz w:val="22"/>
          <w:szCs w:val="22"/>
        </w:rPr>
        <w:t xml:space="preserve"> for fiber fractions useful in food and health promotion. </w:t>
      </w:r>
    </w:p>
    <w:p w:rsidR="00F96A68" w:rsidRDefault="00F96A68" w:rsidP="00EB21FE">
      <w:pPr>
        <w:rPr>
          <w:sz w:val="22"/>
          <w:szCs w:val="22"/>
        </w:rPr>
      </w:pPr>
    </w:p>
    <w:p w:rsidR="0068771F" w:rsidRPr="00524B52" w:rsidRDefault="00524B52" w:rsidP="00EB21FE">
      <w:pPr>
        <w:rPr>
          <w:sz w:val="22"/>
          <w:szCs w:val="22"/>
        </w:rPr>
      </w:pPr>
      <w:r w:rsidRPr="00524B52">
        <w:rPr>
          <w:sz w:val="22"/>
          <w:szCs w:val="22"/>
        </w:rPr>
        <w:t>We are collaborating with</w:t>
      </w:r>
      <w:r w:rsidR="0068771F" w:rsidRPr="00524B52">
        <w:rPr>
          <w:sz w:val="22"/>
          <w:szCs w:val="22"/>
        </w:rPr>
        <w:t xml:space="preserve"> </w:t>
      </w:r>
      <w:r w:rsidRPr="00524B52">
        <w:rPr>
          <w:sz w:val="22"/>
          <w:szCs w:val="22"/>
        </w:rPr>
        <w:t>a company on Supercritical CO2 Extracted DDGS</w:t>
      </w:r>
      <w:r w:rsidR="004E4753">
        <w:rPr>
          <w:sz w:val="22"/>
          <w:szCs w:val="22"/>
        </w:rPr>
        <w:t xml:space="preserve"> for refinement of corn pigments</w:t>
      </w:r>
      <w:r w:rsidRPr="00524B52">
        <w:rPr>
          <w:sz w:val="22"/>
          <w:szCs w:val="22"/>
        </w:rPr>
        <w:t xml:space="preserve">. </w:t>
      </w:r>
    </w:p>
    <w:sectPr w:rsidR="0068771F" w:rsidRPr="00524B52"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14" w:rsidRDefault="009E5914" w:rsidP="00EB21FE">
      <w:r>
        <w:separator/>
      </w:r>
    </w:p>
  </w:endnote>
  <w:endnote w:type="continuationSeparator" w:id="0">
    <w:p w:rsidR="009E5914" w:rsidRDefault="009E5914"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14" w:rsidRDefault="009E5914" w:rsidP="00EB21FE">
      <w:r>
        <w:separator/>
      </w:r>
    </w:p>
  </w:footnote>
  <w:footnote w:type="continuationSeparator" w:id="0">
    <w:p w:rsidR="009E5914" w:rsidRDefault="009E5914"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E31B1"/>
    <w:multiLevelType w:val="hybridMultilevel"/>
    <w:tmpl w:val="FF84FE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1310AD"/>
    <w:rsid w:val="00147A25"/>
    <w:rsid w:val="00201A62"/>
    <w:rsid w:val="002466D8"/>
    <w:rsid w:val="002E2F85"/>
    <w:rsid w:val="003116E9"/>
    <w:rsid w:val="00346842"/>
    <w:rsid w:val="00383FF5"/>
    <w:rsid w:val="00395BED"/>
    <w:rsid w:val="004E4753"/>
    <w:rsid w:val="00524B52"/>
    <w:rsid w:val="00531991"/>
    <w:rsid w:val="00535BCC"/>
    <w:rsid w:val="0068771F"/>
    <w:rsid w:val="006940F0"/>
    <w:rsid w:val="006949F3"/>
    <w:rsid w:val="006D12D1"/>
    <w:rsid w:val="006E73AD"/>
    <w:rsid w:val="007C7B64"/>
    <w:rsid w:val="008926A7"/>
    <w:rsid w:val="009B44DC"/>
    <w:rsid w:val="009E5914"/>
    <w:rsid w:val="00AF2A00"/>
    <w:rsid w:val="00C70B13"/>
    <w:rsid w:val="00CA6F11"/>
    <w:rsid w:val="00CC1DBF"/>
    <w:rsid w:val="00DD0ED0"/>
    <w:rsid w:val="00EB16B7"/>
    <w:rsid w:val="00EB21FE"/>
    <w:rsid w:val="00EE5A47"/>
    <w:rsid w:val="00EE654A"/>
    <w:rsid w:val="00EF0EE4"/>
    <w:rsid w:val="00F03CCF"/>
    <w:rsid w:val="00F16F24"/>
    <w:rsid w:val="00F96A68"/>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character" w:styleId="Hyperlink">
    <w:name w:val="Hyperlink"/>
    <w:basedOn w:val="DefaultParagraphFont"/>
    <w:uiPriority w:val="99"/>
    <w:semiHidden/>
    <w:unhideWhenUsed/>
    <w:rsid w:val="0068771F"/>
    <w:rPr>
      <w:color w:val="0000FF"/>
      <w:u w:val="single"/>
    </w:rPr>
  </w:style>
  <w:style w:type="paragraph" w:styleId="ListParagraph">
    <w:name w:val="List Paragraph"/>
    <w:basedOn w:val="Normal"/>
    <w:uiPriority w:val="72"/>
    <w:qFormat/>
    <w:rsid w:val="0034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61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6e60b41ba82a4f289d8e81f90e7b2607"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2020-02-03T13:59:00Z</cp:lastPrinted>
  <dcterms:created xsi:type="dcterms:W3CDTF">2020-02-03T13:59:00Z</dcterms:created>
  <dcterms:modified xsi:type="dcterms:W3CDTF">2020-02-03T13:59:00Z</dcterms:modified>
</cp:coreProperties>
</file>